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41D9" w:rsidRPr="00702880" w:rsidRDefault="001041D9" w:rsidP="003C0AC9">
      <w:pPr>
        <w:rPr>
          <w:rFonts w:ascii="Arial" w:hAnsi="Arial" w:cs="Arial"/>
          <w:b/>
          <w:sz w:val="12"/>
        </w:rPr>
      </w:pPr>
    </w:p>
    <w:p w:rsidR="002C63D9" w:rsidRPr="00702880" w:rsidRDefault="00DA5836" w:rsidP="002C63D9">
      <w:pPr>
        <w:spacing w:after="0" w:line="240" w:lineRule="auto"/>
        <w:rPr>
          <w:rFonts w:ascii="Arial" w:hAnsi="Arial" w:cs="Arial"/>
          <w:b/>
        </w:rPr>
      </w:pPr>
      <w:r w:rsidRPr="00702880">
        <w:rPr>
          <w:rFonts w:ascii="Arial" w:hAnsi="Arial" w:cs="Arial"/>
          <w:b/>
        </w:rPr>
        <w:t xml:space="preserve">TSCC </w:t>
      </w:r>
      <w:r w:rsidR="003050F4" w:rsidRPr="00702880">
        <w:rPr>
          <w:rFonts w:ascii="Arial" w:hAnsi="Arial" w:cs="Arial"/>
          <w:b/>
        </w:rPr>
        <w:t xml:space="preserve">Meeting </w:t>
      </w:r>
      <w:r w:rsidRPr="00702880">
        <w:rPr>
          <w:rFonts w:ascii="Arial" w:hAnsi="Arial" w:cs="Arial"/>
          <w:b/>
        </w:rPr>
        <w:t>Minutes</w:t>
      </w:r>
      <w:r w:rsidR="00013856">
        <w:rPr>
          <w:rFonts w:ascii="Arial" w:hAnsi="Arial" w:cs="Arial"/>
          <w:b/>
        </w:rPr>
        <w:t xml:space="preserve"> </w:t>
      </w:r>
    </w:p>
    <w:p w:rsidR="002C63D9" w:rsidRPr="00702880" w:rsidRDefault="002D5CC8" w:rsidP="002C63D9">
      <w:pPr>
        <w:spacing w:after="0" w:line="240" w:lineRule="auto"/>
        <w:rPr>
          <w:rFonts w:ascii="Arial" w:hAnsi="Arial" w:cs="Arial"/>
          <w:b/>
        </w:rPr>
      </w:pPr>
      <w:r>
        <w:rPr>
          <w:rFonts w:ascii="Arial" w:hAnsi="Arial" w:cs="Arial"/>
          <w:b/>
        </w:rPr>
        <w:t>Octo</w:t>
      </w:r>
      <w:r w:rsidR="006E6B8A" w:rsidRPr="00702880">
        <w:rPr>
          <w:rFonts w:ascii="Arial" w:hAnsi="Arial" w:cs="Arial"/>
          <w:b/>
        </w:rPr>
        <w:t>ber 1</w:t>
      </w:r>
      <w:r w:rsidR="002C63D9" w:rsidRPr="00702880">
        <w:rPr>
          <w:rFonts w:ascii="Arial" w:hAnsi="Arial" w:cs="Arial"/>
          <w:b/>
        </w:rPr>
        <w:t>, 201</w:t>
      </w:r>
      <w:r w:rsidR="0072419F" w:rsidRPr="00702880">
        <w:rPr>
          <w:rFonts w:ascii="Arial" w:hAnsi="Arial" w:cs="Arial"/>
          <w:b/>
        </w:rPr>
        <w:t>9</w:t>
      </w:r>
    </w:p>
    <w:p w:rsidR="002C63D9" w:rsidRPr="00702880" w:rsidRDefault="002C63D9" w:rsidP="00DA5836">
      <w:pPr>
        <w:spacing w:after="0" w:line="240" w:lineRule="auto"/>
        <w:rPr>
          <w:rFonts w:ascii="Arial" w:hAnsi="Arial" w:cs="Arial"/>
        </w:rPr>
      </w:pPr>
      <w:r w:rsidRPr="00702880">
        <w:rPr>
          <w:rFonts w:ascii="Arial" w:hAnsi="Arial" w:cs="Arial"/>
        </w:rPr>
        <w:t>TSCC Offices, 808 SW 3</w:t>
      </w:r>
      <w:r w:rsidRPr="00702880">
        <w:rPr>
          <w:rFonts w:ascii="Arial" w:hAnsi="Arial" w:cs="Arial"/>
          <w:vertAlign w:val="superscript"/>
        </w:rPr>
        <w:t>rd</w:t>
      </w:r>
      <w:r w:rsidRPr="00702880">
        <w:rPr>
          <w:rFonts w:ascii="Arial" w:hAnsi="Arial" w:cs="Arial"/>
        </w:rPr>
        <w:t xml:space="preserve"> Ave, Suite 540, Portland Oregon</w:t>
      </w:r>
    </w:p>
    <w:p w:rsidR="00DA5836" w:rsidRPr="00702880" w:rsidRDefault="00DA5836" w:rsidP="00DA5836">
      <w:pPr>
        <w:spacing w:after="0" w:line="240" w:lineRule="auto"/>
        <w:rPr>
          <w:rFonts w:ascii="Arial" w:hAnsi="Arial" w:cs="Arial"/>
        </w:rPr>
      </w:pPr>
    </w:p>
    <w:p w:rsidR="00965794" w:rsidRPr="00702880" w:rsidRDefault="00965794" w:rsidP="009E4421">
      <w:pPr>
        <w:rPr>
          <w:rFonts w:ascii="Arial" w:hAnsi="Arial" w:cs="Arial"/>
        </w:rPr>
      </w:pPr>
      <w:r w:rsidRPr="00702880">
        <w:rPr>
          <w:rFonts w:ascii="Arial" w:hAnsi="Arial" w:cs="Arial"/>
        </w:rPr>
        <w:t>Commissi</w:t>
      </w:r>
      <w:r w:rsidR="00931F08" w:rsidRPr="00702880">
        <w:rPr>
          <w:rFonts w:ascii="Arial" w:hAnsi="Arial" w:cs="Arial"/>
        </w:rPr>
        <w:t xml:space="preserve">oners Barringer, Norton, </w:t>
      </w:r>
      <w:r w:rsidR="00702880">
        <w:rPr>
          <w:rFonts w:ascii="Arial" w:hAnsi="Arial" w:cs="Arial"/>
        </w:rPr>
        <w:t xml:space="preserve">and </w:t>
      </w:r>
      <w:r w:rsidR="00931F08" w:rsidRPr="00702880">
        <w:rPr>
          <w:rFonts w:ascii="Arial" w:hAnsi="Arial" w:cs="Arial"/>
        </w:rPr>
        <w:t>Ofsink</w:t>
      </w:r>
      <w:r w:rsidR="002C2431" w:rsidRPr="00702880">
        <w:rPr>
          <w:rFonts w:ascii="Arial" w:hAnsi="Arial" w:cs="Arial"/>
        </w:rPr>
        <w:t xml:space="preserve"> </w:t>
      </w:r>
      <w:r w:rsidRPr="00702880">
        <w:rPr>
          <w:rFonts w:ascii="Arial" w:hAnsi="Arial" w:cs="Arial"/>
        </w:rPr>
        <w:t xml:space="preserve">were present as </w:t>
      </w:r>
      <w:r w:rsidR="006E6B8A" w:rsidRPr="00702880">
        <w:rPr>
          <w:rFonts w:ascii="Arial" w:hAnsi="Arial" w:cs="Arial"/>
        </w:rPr>
        <w:t>were</w:t>
      </w:r>
      <w:r w:rsidRPr="00702880">
        <w:rPr>
          <w:rFonts w:ascii="Arial" w:hAnsi="Arial" w:cs="Arial"/>
        </w:rPr>
        <w:t xml:space="preserve"> Executive Director Gibons</w:t>
      </w:r>
      <w:r w:rsidR="00011237" w:rsidRPr="00702880">
        <w:rPr>
          <w:rFonts w:ascii="Arial" w:hAnsi="Arial" w:cs="Arial"/>
        </w:rPr>
        <w:t xml:space="preserve"> and Budget Analyst Tunie </w:t>
      </w:r>
      <w:r w:rsidR="00331513" w:rsidRPr="00702880">
        <w:rPr>
          <w:rFonts w:ascii="Arial" w:hAnsi="Arial" w:cs="Arial"/>
        </w:rPr>
        <w:t>Betschart.</w:t>
      </w:r>
    </w:p>
    <w:p w:rsidR="00AA0FAD" w:rsidRPr="00702880" w:rsidRDefault="00AA0FAD" w:rsidP="009E4421">
      <w:pPr>
        <w:rPr>
          <w:rFonts w:ascii="Arial" w:hAnsi="Arial" w:cs="Arial"/>
        </w:rPr>
      </w:pPr>
      <w:r w:rsidRPr="00702880">
        <w:rPr>
          <w:rFonts w:ascii="Arial" w:hAnsi="Arial" w:cs="Arial"/>
        </w:rPr>
        <w:t xml:space="preserve">Absent: </w:t>
      </w:r>
      <w:r w:rsidR="00702880">
        <w:rPr>
          <w:rFonts w:ascii="Arial" w:hAnsi="Arial" w:cs="Arial"/>
        </w:rPr>
        <w:t>Commissioner</w:t>
      </w:r>
      <w:r w:rsidR="00702880" w:rsidRPr="00702880">
        <w:rPr>
          <w:rFonts w:ascii="Arial" w:hAnsi="Arial" w:cs="Arial"/>
        </w:rPr>
        <w:t xml:space="preserve"> Wubbold</w:t>
      </w:r>
      <w:r w:rsidR="00AB6F81" w:rsidRPr="00702880">
        <w:rPr>
          <w:rFonts w:ascii="Arial" w:hAnsi="Arial" w:cs="Arial"/>
        </w:rPr>
        <w:t xml:space="preserve"> (One position is waiting appointment by Governor)</w:t>
      </w:r>
    </w:p>
    <w:p w:rsidR="00965794" w:rsidRPr="00702880" w:rsidRDefault="00965794" w:rsidP="009E4421">
      <w:pPr>
        <w:rPr>
          <w:rFonts w:ascii="Arial" w:hAnsi="Arial" w:cs="Arial"/>
        </w:rPr>
      </w:pPr>
      <w:r w:rsidRPr="00702880">
        <w:rPr>
          <w:rFonts w:ascii="Arial" w:hAnsi="Arial" w:cs="Arial"/>
        </w:rPr>
        <w:t>Chair Barringer convened the</w:t>
      </w:r>
      <w:r w:rsidR="00810E1C" w:rsidRPr="00702880">
        <w:rPr>
          <w:rFonts w:ascii="Arial" w:hAnsi="Arial" w:cs="Arial"/>
        </w:rPr>
        <w:t xml:space="preserve"> TSCC Regular M</w:t>
      </w:r>
      <w:r w:rsidRPr="00702880">
        <w:rPr>
          <w:rFonts w:ascii="Arial" w:hAnsi="Arial" w:cs="Arial"/>
        </w:rPr>
        <w:t xml:space="preserve">eeting at </w:t>
      </w:r>
      <w:r w:rsidR="003F4E90" w:rsidRPr="00702880">
        <w:rPr>
          <w:rFonts w:ascii="Arial" w:hAnsi="Arial" w:cs="Arial"/>
        </w:rPr>
        <w:t>1</w:t>
      </w:r>
      <w:r w:rsidR="00931F08" w:rsidRPr="00702880">
        <w:rPr>
          <w:rFonts w:ascii="Arial" w:hAnsi="Arial" w:cs="Arial"/>
        </w:rPr>
        <w:t>2</w:t>
      </w:r>
      <w:r w:rsidR="00AA0FAD" w:rsidRPr="00702880">
        <w:rPr>
          <w:rFonts w:ascii="Arial" w:hAnsi="Arial" w:cs="Arial"/>
        </w:rPr>
        <w:t>:</w:t>
      </w:r>
      <w:bookmarkStart w:id="0" w:name="_GoBack"/>
      <w:bookmarkEnd w:id="0"/>
      <w:r w:rsidR="00702880">
        <w:rPr>
          <w:rFonts w:ascii="Arial" w:hAnsi="Arial" w:cs="Arial"/>
        </w:rPr>
        <w:t>16</w:t>
      </w:r>
    </w:p>
    <w:p w:rsidR="001A230C" w:rsidRDefault="00AA0FAD" w:rsidP="00DF721B">
      <w:pPr>
        <w:pStyle w:val="ListParagraph"/>
        <w:numPr>
          <w:ilvl w:val="0"/>
          <w:numId w:val="1"/>
        </w:numPr>
        <w:rPr>
          <w:rFonts w:ascii="Arial" w:hAnsi="Arial" w:cs="Arial"/>
          <w:color w:val="000000" w:themeColor="text1"/>
        </w:rPr>
      </w:pPr>
      <w:r w:rsidRPr="001A230C">
        <w:rPr>
          <w:rFonts w:ascii="Arial" w:hAnsi="Arial" w:cs="Arial"/>
          <w:color w:val="000000" w:themeColor="text1"/>
        </w:rPr>
        <w:t xml:space="preserve">Chair Barringer </w:t>
      </w:r>
      <w:r w:rsidR="00702880" w:rsidRPr="001A230C">
        <w:rPr>
          <w:rFonts w:ascii="Arial" w:hAnsi="Arial" w:cs="Arial"/>
          <w:color w:val="000000" w:themeColor="text1"/>
        </w:rPr>
        <w:t>deferred</w:t>
      </w:r>
      <w:r w:rsidR="00931F08" w:rsidRPr="001A230C">
        <w:rPr>
          <w:rFonts w:ascii="Arial" w:hAnsi="Arial" w:cs="Arial"/>
          <w:color w:val="000000" w:themeColor="text1"/>
        </w:rPr>
        <w:t xml:space="preserve"> the</w:t>
      </w:r>
      <w:r w:rsidR="00836424" w:rsidRPr="001A230C">
        <w:rPr>
          <w:rFonts w:ascii="Arial" w:hAnsi="Arial" w:cs="Arial"/>
          <w:color w:val="000000" w:themeColor="text1"/>
        </w:rPr>
        <w:t xml:space="preserve"> September 11 </w:t>
      </w:r>
      <w:r w:rsidR="00931F08" w:rsidRPr="001A230C">
        <w:rPr>
          <w:rFonts w:ascii="Arial" w:hAnsi="Arial" w:cs="Arial"/>
          <w:color w:val="000000" w:themeColor="text1"/>
        </w:rPr>
        <w:t xml:space="preserve">minutes </w:t>
      </w:r>
      <w:r w:rsidR="00702880" w:rsidRPr="001A230C">
        <w:rPr>
          <w:rFonts w:ascii="Arial" w:hAnsi="Arial" w:cs="Arial"/>
          <w:color w:val="000000" w:themeColor="text1"/>
        </w:rPr>
        <w:t>until the November meeting</w:t>
      </w:r>
      <w:r w:rsidR="002870FB">
        <w:rPr>
          <w:rFonts w:ascii="Arial" w:hAnsi="Arial" w:cs="Arial"/>
          <w:color w:val="000000" w:themeColor="text1"/>
        </w:rPr>
        <w:t>.</w:t>
      </w:r>
    </w:p>
    <w:p w:rsidR="001A230C" w:rsidRPr="001A230C" w:rsidRDefault="001A230C" w:rsidP="001A230C">
      <w:pPr>
        <w:ind w:left="360"/>
        <w:rPr>
          <w:rFonts w:ascii="Arial" w:hAnsi="Arial" w:cs="Arial"/>
          <w:color w:val="000000" w:themeColor="text1"/>
        </w:rPr>
      </w:pPr>
    </w:p>
    <w:p w:rsidR="00AA0FAD" w:rsidRPr="001A230C" w:rsidRDefault="00931F08" w:rsidP="00DF721B">
      <w:pPr>
        <w:pStyle w:val="ListParagraph"/>
        <w:numPr>
          <w:ilvl w:val="0"/>
          <w:numId w:val="1"/>
        </w:numPr>
        <w:rPr>
          <w:rFonts w:ascii="Arial" w:hAnsi="Arial" w:cs="Arial"/>
          <w:color w:val="000000" w:themeColor="text1"/>
        </w:rPr>
      </w:pPr>
      <w:r w:rsidRPr="001A230C">
        <w:rPr>
          <w:rFonts w:ascii="Arial" w:hAnsi="Arial" w:cs="Arial"/>
          <w:color w:val="000000" w:themeColor="text1"/>
        </w:rPr>
        <w:t>Craig Gibons review the TSCC</w:t>
      </w:r>
      <w:r w:rsidR="00AA0FAD" w:rsidRPr="001A230C">
        <w:rPr>
          <w:rFonts w:ascii="Arial" w:hAnsi="Arial" w:cs="Arial"/>
          <w:color w:val="000000" w:themeColor="text1"/>
        </w:rPr>
        <w:t xml:space="preserve"> </w:t>
      </w:r>
      <w:r w:rsidR="00981BE8" w:rsidRPr="001A230C">
        <w:rPr>
          <w:rFonts w:ascii="Arial" w:hAnsi="Arial" w:cs="Arial"/>
          <w:color w:val="000000" w:themeColor="text1"/>
        </w:rPr>
        <w:t xml:space="preserve">FY19 Budget. </w:t>
      </w:r>
    </w:p>
    <w:p w:rsidR="00A110CD" w:rsidRPr="00702880" w:rsidRDefault="00A110CD" w:rsidP="00A110CD">
      <w:pPr>
        <w:pStyle w:val="ListParagraph"/>
        <w:numPr>
          <w:ilvl w:val="1"/>
          <w:numId w:val="1"/>
        </w:numPr>
        <w:rPr>
          <w:rFonts w:ascii="Arial" w:hAnsi="Arial" w:cs="Arial"/>
          <w:color w:val="000000" w:themeColor="text1"/>
        </w:rPr>
      </w:pPr>
      <w:r w:rsidRPr="00702880">
        <w:rPr>
          <w:rFonts w:ascii="Arial" w:hAnsi="Arial" w:cs="Arial"/>
          <w:color w:val="000000" w:themeColor="text1"/>
        </w:rPr>
        <w:t xml:space="preserve">Mr. Gibons briefly explained </w:t>
      </w:r>
      <w:r w:rsidR="00702880">
        <w:rPr>
          <w:rFonts w:ascii="Arial" w:hAnsi="Arial" w:cs="Arial"/>
          <w:color w:val="000000" w:themeColor="text1"/>
        </w:rPr>
        <w:t xml:space="preserve">that this reflects only 2 months into the new fiscal year or 17% of the year and 19% of the budget. In part, this is a result of a $4,550 for Dataccuity annual costs. </w:t>
      </w:r>
    </w:p>
    <w:p w:rsidR="00BD298F" w:rsidRDefault="00702880" w:rsidP="00A110CD">
      <w:pPr>
        <w:pStyle w:val="ListParagraph"/>
        <w:numPr>
          <w:ilvl w:val="1"/>
          <w:numId w:val="1"/>
        </w:numPr>
        <w:rPr>
          <w:rFonts w:ascii="Arial" w:hAnsi="Arial" w:cs="Arial"/>
          <w:color w:val="000000" w:themeColor="text1"/>
        </w:rPr>
      </w:pPr>
      <w:r>
        <w:rPr>
          <w:rFonts w:ascii="Arial" w:hAnsi="Arial" w:cs="Arial"/>
          <w:color w:val="000000" w:themeColor="text1"/>
        </w:rPr>
        <w:t>See attached Budget Report through August 31, 2019</w:t>
      </w:r>
      <w:r w:rsidR="0089016C" w:rsidRPr="00702880">
        <w:rPr>
          <w:rFonts w:ascii="Arial" w:hAnsi="Arial" w:cs="Arial"/>
          <w:color w:val="000000" w:themeColor="text1"/>
        </w:rPr>
        <w:t xml:space="preserve"> </w:t>
      </w:r>
    </w:p>
    <w:p w:rsidR="001A230C" w:rsidRPr="001A230C" w:rsidRDefault="001A230C" w:rsidP="001A230C">
      <w:pPr>
        <w:ind w:left="1080"/>
        <w:rPr>
          <w:rFonts w:ascii="Arial" w:hAnsi="Arial" w:cs="Arial"/>
          <w:color w:val="000000" w:themeColor="text1"/>
        </w:rPr>
      </w:pPr>
    </w:p>
    <w:p w:rsidR="006E6B8A" w:rsidRPr="00702880" w:rsidRDefault="006E6B8A" w:rsidP="00880453">
      <w:pPr>
        <w:pStyle w:val="ListParagraph"/>
        <w:numPr>
          <w:ilvl w:val="0"/>
          <w:numId w:val="1"/>
        </w:numPr>
        <w:rPr>
          <w:rFonts w:ascii="Arial" w:hAnsi="Arial" w:cs="Arial"/>
          <w:color w:val="000000" w:themeColor="text1"/>
        </w:rPr>
      </w:pPr>
      <w:r w:rsidRPr="00702880">
        <w:rPr>
          <w:rFonts w:ascii="Arial" w:hAnsi="Arial" w:cs="Arial"/>
          <w:color w:val="000000" w:themeColor="text1"/>
        </w:rPr>
        <w:t xml:space="preserve">Commissioner Recruitment was discussed. </w:t>
      </w:r>
    </w:p>
    <w:p w:rsidR="00DE743C" w:rsidRDefault="00702880" w:rsidP="00FB01F3">
      <w:pPr>
        <w:pStyle w:val="ListParagraph"/>
        <w:numPr>
          <w:ilvl w:val="1"/>
          <w:numId w:val="1"/>
        </w:numPr>
        <w:rPr>
          <w:rFonts w:ascii="Arial" w:hAnsi="Arial" w:cs="Arial"/>
          <w:color w:val="000000" w:themeColor="text1"/>
        </w:rPr>
      </w:pPr>
      <w:r w:rsidRPr="00DE743C">
        <w:rPr>
          <w:rFonts w:ascii="Arial" w:hAnsi="Arial" w:cs="Arial"/>
          <w:color w:val="000000" w:themeColor="text1"/>
        </w:rPr>
        <w:t xml:space="preserve">Commissioner Norton sent a message to </w:t>
      </w:r>
      <w:r w:rsidR="006E6B8A" w:rsidRPr="00DE743C">
        <w:rPr>
          <w:rFonts w:ascii="Arial" w:hAnsi="Arial" w:cs="Arial"/>
          <w:color w:val="000000" w:themeColor="text1"/>
        </w:rPr>
        <w:t>Thomas Lan</w:t>
      </w:r>
      <w:r w:rsidR="000F5FFE" w:rsidRPr="00DE743C">
        <w:rPr>
          <w:rFonts w:ascii="Arial" w:hAnsi="Arial" w:cs="Arial"/>
          <w:color w:val="000000" w:themeColor="text1"/>
        </w:rPr>
        <w:t>no</w:t>
      </w:r>
      <w:r w:rsidR="006E6B8A" w:rsidRPr="00DE743C">
        <w:rPr>
          <w:rFonts w:ascii="Arial" w:hAnsi="Arial" w:cs="Arial"/>
          <w:color w:val="000000" w:themeColor="text1"/>
        </w:rPr>
        <w:t xml:space="preserve">m from the City of Portland </w:t>
      </w:r>
      <w:r w:rsidRPr="00DE743C">
        <w:rPr>
          <w:rFonts w:ascii="Arial" w:hAnsi="Arial" w:cs="Arial"/>
          <w:color w:val="000000" w:themeColor="text1"/>
        </w:rPr>
        <w:t xml:space="preserve">about the open </w:t>
      </w:r>
      <w:r w:rsidR="00DE743C" w:rsidRPr="00DE743C">
        <w:rPr>
          <w:rFonts w:ascii="Arial" w:hAnsi="Arial" w:cs="Arial"/>
          <w:color w:val="000000" w:themeColor="text1"/>
        </w:rPr>
        <w:t xml:space="preserve">position on the TSCC Commission. He has not responded. She will attempt to contact him again. Following his </w:t>
      </w:r>
      <w:r w:rsidR="00836424">
        <w:rPr>
          <w:rFonts w:ascii="Arial" w:hAnsi="Arial" w:cs="Arial"/>
          <w:color w:val="000000" w:themeColor="text1"/>
        </w:rPr>
        <w:t>response,</w:t>
      </w:r>
      <w:r w:rsidR="00DE743C" w:rsidRPr="00DE743C">
        <w:rPr>
          <w:rFonts w:ascii="Arial" w:hAnsi="Arial" w:cs="Arial"/>
          <w:color w:val="000000" w:themeColor="text1"/>
        </w:rPr>
        <w:t xml:space="preserve"> the Commission will suggest </w:t>
      </w:r>
      <w:r w:rsidR="00C75519">
        <w:rPr>
          <w:rFonts w:ascii="Arial" w:hAnsi="Arial" w:cs="Arial"/>
          <w:color w:val="000000" w:themeColor="text1"/>
        </w:rPr>
        <w:t xml:space="preserve">to the Governor’s Office </w:t>
      </w:r>
      <w:r w:rsidR="00DE743C">
        <w:rPr>
          <w:rFonts w:ascii="Arial" w:hAnsi="Arial" w:cs="Arial"/>
          <w:color w:val="000000" w:themeColor="text1"/>
        </w:rPr>
        <w:t>clos</w:t>
      </w:r>
      <w:r w:rsidR="00836424">
        <w:rPr>
          <w:rFonts w:ascii="Arial" w:hAnsi="Arial" w:cs="Arial"/>
          <w:color w:val="000000" w:themeColor="text1"/>
        </w:rPr>
        <w:t>e</w:t>
      </w:r>
      <w:r w:rsidR="00DE743C">
        <w:rPr>
          <w:rFonts w:ascii="Arial" w:hAnsi="Arial" w:cs="Arial"/>
          <w:color w:val="000000" w:themeColor="text1"/>
        </w:rPr>
        <w:t xml:space="preserve"> the </w:t>
      </w:r>
      <w:r w:rsidR="00C75519">
        <w:rPr>
          <w:rFonts w:ascii="Arial" w:hAnsi="Arial" w:cs="Arial"/>
          <w:color w:val="000000" w:themeColor="text1"/>
        </w:rPr>
        <w:t xml:space="preserve">search for a commissioner and move to the selection process.  </w:t>
      </w:r>
      <w:r w:rsidR="00DE743C" w:rsidRPr="00DE743C">
        <w:rPr>
          <w:rFonts w:ascii="Arial" w:hAnsi="Arial" w:cs="Arial"/>
          <w:color w:val="000000" w:themeColor="text1"/>
        </w:rPr>
        <w:t xml:space="preserve"> </w:t>
      </w:r>
    </w:p>
    <w:p w:rsidR="001A230C" w:rsidRPr="001A230C" w:rsidRDefault="001A230C" w:rsidP="001A230C">
      <w:pPr>
        <w:ind w:left="1080"/>
        <w:rPr>
          <w:rFonts w:ascii="Arial" w:hAnsi="Arial" w:cs="Arial"/>
          <w:color w:val="000000" w:themeColor="text1"/>
        </w:rPr>
      </w:pPr>
    </w:p>
    <w:p w:rsidR="007B3471" w:rsidRDefault="007B3471" w:rsidP="007B3471">
      <w:pPr>
        <w:pStyle w:val="ListParagraph"/>
        <w:numPr>
          <w:ilvl w:val="0"/>
          <w:numId w:val="1"/>
        </w:numPr>
        <w:spacing w:after="0" w:line="240" w:lineRule="auto"/>
        <w:rPr>
          <w:rFonts w:ascii="Arial" w:hAnsi="Arial" w:cs="Arial"/>
        </w:rPr>
      </w:pPr>
      <w:r w:rsidRPr="00702880">
        <w:rPr>
          <w:rFonts w:ascii="Arial" w:hAnsi="Arial" w:cs="Arial"/>
        </w:rPr>
        <w:t xml:space="preserve">Tax Measure Hearings </w:t>
      </w:r>
      <w:r w:rsidR="00C75519">
        <w:rPr>
          <w:rFonts w:ascii="Arial" w:hAnsi="Arial" w:cs="Arial"/>
        </w:rPr>
        <w:t>being held this month</w:t>
      </w:r>
      <w:r w:rsidRPr="00702880">
        <w:rPr>
          <w:rFonts w:ascii="Arial" w:hAnsi="Arial" w:cs="Arial"/>
        </w:rPr>
        <w:t xml:space="preserve"> were discussed. </w:t>
      </w:r>
    </w:p>
    <w:p w:rsidR="001A230C" w:rsidRPr="001A230C" w:rsidRDefault="001A230C" w:rsidP="001A230C">
      <w:pPr>
        <w:spacing w:after="0" w:line="240" w:lineRule="auto"/>
        <w:ind w:left="360"/>
        <w:rPr>
          <w:rFonts w:ascii="Arial" w:hAnsi="Arial" w:cs="Arial"/>
        </w:rPr>
      </w:pPr>
    </w:p>
    <w:p w:rsidR="00C75519" w:rsidRDefault="007B3471" w:rsidP="00057B7B">
      <w:pPr>
        <w:pStyle w:val="ListParagraph"/>
        <w:numPr>
          <w:ilvl w:val="1"/>
          <w:numId w:val="1"/>
        </w:numPr>
        <w:spacing w:after="0" w:line="240" w:lineRule="auto"/>
        <w:rPr>
          <w:rFonts w:ascii="Arial" w:hAnsi="Arial" w:cs="Arial"/>
        </w:rPr>
      </w:pPr>
      <w:r w:rsidRPr="0092753D">
        <w:rPr>
          <w:rFonts w:ascii="Arial" w:hAnsi="Arial" w:cs="Arial"/>
          <w:b/>
          <w:u w:val="single"/>
        </w:rPr>
        <w:t>Metro</w:t>
      </w:r>
      <w:r w:rsidR="00057B7B" w:rsidRPr="0092753D">
        <w:rPr>
          <w:rFonts w:ascii="Arial" w:hAnsi="Arial" w:cs="Arial"/>
          <w:b/>
          <w:u w:val="single"/>
        </w:rPr>
        <w:t xml:space="preserve"> Bond Hearing</w:t>
      </w:r>
      <w:r w:rsidR="00057B7B" w:rsidRPr="00702880">
        <w:rPr>
          <w:rFonts w:ascii="Arial" w:hAnsi="Arial" w:cs="Arial"/>
        </w:rPr>
        <w:t xml:space="preserve"> will be held at Metro Headquarters on Thursday, October 17, 2019 at 12:30</w:t>
      </w:r>
      <w:r w:rsidRPr="00702880">
        <w:rPr>
          <w:rFonts w:ascii="Arial" w:hAnsi="Arial" w:cs="Arial"/>
        </w:rPr>
        <w:t xml:space="preserve"> </w:t>
      </w:r>
    </w:p>
    <w:p w:rsidR="002210C8" w:rsidRDefault="00C75519" w:rsidP="002210C8">
      <w:pPr>
        <w:pStyle w:val="ListParagraph"/>
        <w:numPr>
          <w:ilvl w:val="3"/>
          <w:numId w:val="1"/>
        </w:numPr>
        <w:spacing w:after="0" w:line="240" w:lineRule="auto"/>
        <w:ind w:left="1710" w:hanging="270"/>
        <w:rPr>
          <w:rFonts w:ascii="Arial" w:hAnsi="Arial" w:cs="Arial"/>
        </w:rPr>
      </w:pPr>
      <w:r>
        <w:rPr>
          <w:rFonts w:ascii="Arial" w:hAnsi="Arial" w:cs="Arial"/>
        </w:rPr>
        <w:t xml:space="preserve">Questions for the hearing were discussed at length. It was </w:t>
      </w:r>
      <w:r w:rsidR="00836424">
        <w:rPr>
          <w:rFonts w:ascii="Arial" w:hAnsi="Arial" w:cs="Arial"/>
        </w:rPr>
        <w:t xml:space="preserve">noted that </w:t>
      </w:r>
      <w:r w:rsidR="0092753D">
        <w:rPr>
          <w:rFonts w:ascii="Arial" w:hAnsi="Arial" w:cs="Arial"/>
        </w:rPr>
        <w:t>Metro’s bond measures are different in that they are not asking voters for bond money to fund a project but rather</w:t>
      </w:r>
      <w:r w:rsidR="00013856">
        <w:rPr>
          <w:rFonts w:ascii="Arial" w:hAnsi="Arial" w:cs="Arial"/>
        </w:rPr>
        <w:t xml:space="preserve"> they are asking voters to approve</w:t>
      </w:r>
      <w:r w:rsidR="0092753D">
        <w:rPr>
          <w:rFonts w:ascii="Arial" w:hAnsi="Arial" w:cs="Arial"/>
        </w:rPr>
        <w:t xml:space="preserve"> a concept. They have become a “regional funder” for various concepts.</w:t>
      </w:r>
    </w:p>
    <w:p w:rsidR="007B3471" w:rsidRDefault="0092753D" w:rsidP="002210C8">
      <w:pPr>
        <w:pStyle w:val="ListParagraph"/>
        <w:numPr>
          <w:ilvl w:val="3"/>
          <w:numId w:val="1"/>
        </w:numPr>
        <w:spacing w:after="0" w:line="240" w:lineRule="auto"/>
        <w:ind w:left="1710" w:hanging="270"/>
        <w:rPr>
          <w:rFonts w:ascii="Arial" w:hAnsi="Arial" w:cs="Arial"/>
        </w:rPr>
      </w:pPr>
      <w:r>
        <w:rPr>
          <w:rFonts w:ascii="Arial" w:hAnsi="Arial" w:cs="Arial"/>
        </w:rPr>
        <w:t xml:space="preserve"> </w:t>
      </w:r>
      <w:r w:rsidR="00836424">
        <w:rPr>
          <w:rFonts w:ascii="Arial" w:hAnsi="Arial" w:cs="Arial"/>
        </w:rPr>
        <w:t xml:space="preserve">Questions were edited, deleted, and some added. The questions to be asked at the hearing will be something along the following themes. </w:t>
      </w:r>
      <w:r>
        <w:rPr>
          <w:rFonts w:ascii="Arial" w:hAnsi="Arial" w:cs="Arial"/>
        </w:rPr>
        <w:t xml:space="preserve"> “</w:t>
      </w:r>
      <w:r w:rsidR="00013856">
        <w:rPr>
          <w:rFonts w:ascii="Arial" w:hAnsi="Arial" w:cs="Arial"/>
        </w:rPr>
        <w:t>What</w:t>
      </w:r>
      <w:r>
        <w:rPr>
          <w:rFonts w:ascii="Arial" w:hAnsi="Arial" w:cs="Arial"/>
        </w:rPr>
        <w:t xml:space="preserve"> role does Metro play in the selection of </w:t>
      </w:r>
      <w:r w:rsidR="0013057F">
        <w:rPr>
          <w:rFonts w:ascii="Arial" w:hAnsi="Arial" w:cs="Arial"/>
        </w:rPr>
        <w:t xml:space="preserve">other organizations’ </w:t>
      </w:r>
      <w:r>
        <w:rPr>
          <w:rFonts w:ascii="Arial" w:hAnsi="Arial" w:cs="Arial"/>
        </w:rPr>
        <w:t xml:space="preserve">projects?” How will they ensure the spoken limit of $0.19 will be maintained?’ and “Once projects are completed, what funding will be used for operations and maintenance?” </w:t>
      </w:r>
    </w:p>
    <w:p w:rsidR="001A230C" w:rsidRPr="001A230C" w:rsidRDefault="001A230C" w:rsidP="001A230C">
      <w:pPr>
        <w:spacing w:after="0" w:line="240" w:lineRule="auto"/>
        <w:ind w:left="1440"/>
        <w:rPr>
          <w:rFonts w:ascii="Arial" w:hAnsi="Arial" w:cs="Arial"/>
        </w:rPr>
      </w:pPr>
    </w:p>
    <w:p w:rsidR="00057B7B" w:rsidRDefault="00057B7B" w:rsidP="00057B7B">
      <w:pPr>
        <w:pStyle w:val="ListParagraph"/>
        <w:numPr>
          <w:ilvl w:val="1"/>
          <w:numId w:val="1"/>
        </w:numPr>
        <w:spacing w:after="0" w:line="240" w:lineRule="auto"/>
        <w:rPr>
          <w:rFonts w:ascii="Arial" w:hAnsi="Arial" w:cs="Arial"/>
        </w:rPr>
      </w:pPr>
      <w:r w:rsidRPr="002210C8">
        <w:rPr>
          <w:rFonts w:ascii="Arial" w:hAnsi="Arial" w:cs="Arial"/>
          <w:b/>
          <w:u w:val="single"/>
        </w:rPr>
        <w:t>Portland Public Schools Local Option Levy</w:t>
      </w:r>
      <w:r w:rsidRPr="00702880">
        <w:rPr>
          <w:rFonts w:ascii="Arial" w:hAnsi="Arial" w:cs="Arial"/>
        </w:rPr>
        <w:t xml:space="preserve"> hearing will be held at the Blanchard Education Center on Tuesday October 15, at 5:00 p.m.</w:t>
      </w:r>
    </w:p>
    <w:p w:rsidR="002210C8" w:rsidRDefault="002210C8" w:rsidP="002210C8">
      <w:pPr>
        <w:pStyle w:val="ListParagraph"/>
        <w:numPr>
          <w:ilvl w:val="3"/>
          <w:numId w:val="1"/>
        </w:numPr>
        <w:spacing w:after="0" w:line="240" w:lineRule="auto"/>
        <w:ind w:left="1710" w:hanging="270"/>
        <w:rPr>
          <w:rFonts w:ascii="Arial" w:hAnsi="Arial" w:cs="Arial"/>
        </w:rPr>
      </w:pPr>
      <w:r>
        <w:rPr>
          <w:rFonts w:ascii="Arial" w:hAnsi="Arial" w:cs="Arial"/>
        </w:rPr>
        <w:t>The questions for this hearing were discussed. The theme of these questions needs to be student accomplishment as a result of previous local option levies; accountability and m</w:t>
      </w:r>
      <w:r w:rsidR="00836424">
        <w:rPr>
          <w:rFonts w:ascii="Arial" w:hAnsi="Arial" w:cs="Arial"/>
        </w:rPr>
        <w:t>a</w:t>
      </w:r>
      <w:r>
        <w:rPr>
          <w:rFonts w:ascii="Arial" w:hAnsi="Arial" w:cs="Arial"/>
        </w:rPr>
        <w:t>tri</w:t>
      </w:r>
      <w:r w:rsidR="00836424">
        <w:rPr>
          <w:rFonts w:ascii="Arial" w:hAnsi="Arial" w:cs="Arial"/>
        </w:rPr>
        <w:t>x</w:t>
      </w:r>
      <w:r>
        <w:rPr>
          <w:rFonts w:ascii="Arial" w:hAnsi="Arial" w:cs="Arial"/>
        </w:rPr>
        <w:t xml:space="preserve"> proving accountability due to the previous levies, and how the board plans to receive, review, and respond to financial information to ensure there will be no spending for administrative cost as promised to the voters. </w:t>
      </w:r>
    </w:p>
    <w:p w:rsidR="002210C8" w:rsidRDefault="002210C8" w:rsidP="002210C8">
      <w:pPr>
        <w:pStyle w:val="ListParagraph"/>
        <w:numPr>
          <w:ilvl w:val="3"/>
          <w:numId w:val="1"/>
        </w:numPr>
        <w:spacing w:after="0" w:line="240" w:lineRule="auto"/>
        <w:ind w:left="1710" w:hanging="270"/>
        <w:rPr>
          <w:rFonts w:ascii="Arial" w:hAnsi="Arial" w:cs="Arial"/>
        </w:rPr>
      </w:pPr>
      <w:r>
        <w:rPr>
          <w:rFonts w:ascii="Arial" w:hAnsi="Arial" w:cs="Arial"/>
        </w:rPr>
        <w:t>Questions to be asked may include such questions as “what measurable outcomes from the current levy will the distri</w:t>
      </w:r>
      <w:r w:rsidR="00F03242">
        <w:rPr>
          <w:rFonts w:ascii="Arial" w:hAnsi="Arial" w:cs="Arial"/>
        </w:rPr>
        <w:t>c</w:t>
      </w:r>
      <w:r>
        <w:rPr>
          <w:rFonts w:ascii="Arial" w:hAnsi="Arial" w:cs="Arial"/>
        </w:rPr>
        <w:t xml:space="preserve">t use to </w:t>
      </w:r>
      <w:r w:rsidR="006232F7">
        <w:rPr>
          <w:rFonts w:ascii="Arial" w:hAnsi="Arial" w:cs="Arial"/>
        </w:rPr>
        <w:t>persuade</w:t>
      </w:r>
      <w:r>
        <w:rPr>
          <w:rFonts w:ascii="Arial" w:hAnsi="Arial" w:cs="Arial"/>
        </w:rPr>
        <w:t xml:space="preserve"> voters to pass the levy?”  </w:t>
      </w:r>
      <w:r w:rsidR="00F03242">
        <w:rPr>
          <w:rFonts w:ascii="Arial" w:hAnsi="Arial" w:cs="Arial"/>
        </w:rPr>
        <w:t>How will student achievement be measured?” And an auditing question about how the</w:t>
      </w:r>
      <w:r w:rsidR="00FA7CAB">
        <w:rPr>
          <w:rFonts w:ascii="Arial" w:hAnsi="Arial" w:cs="Arial"/>
        </w:rPr>
        <w:t xml:space="preserve"> district is performing in comparison to the</w:t>
      </w:r>
      <w:r w:rsidR="00F03242">
        <w:rPr>
          <w:rFonts w:ascii="Arial" w:hAnsi="Arial" w:cs="Arial"/>
        </w:rPr>
        <w:t xml:space="preserve"> commitments made to the voters </w:t>
      </w:r>
      <w:r w:rsidR="00FA7CAB">
        <w:rPr>
          <w:rFonts w:ascii="Arial" w:hAnsi="Arial" w:cs="Arial"/>
        </w:rPr>
        <w:t>and the matrix used to document this.</w:t>
      </w:r>
      <w:r w:rsidR="00F03242">
        <w:rPr>
          <w:rFonts w:ascii="Arial" w:hAnsi="Arial" w:cs="Arial"/>
        </w:rPr>
        <w:t xml:space="preserve"> </w:t>
      </w:r>
    </w:p>
    <w:p w:rsidR="001A230C" w:rsidRPr="001A230C" w:rsidRDefault="001A230C" w:rsidP="001A230C">
      <w:pPr>
        <w:spacing w:after="0" w:line="240" w:lineRule="auto"/>
        <w:ind w:left="1440"/>
        <w:rPr>
          <w:rFonts w:ascii="Arial" w:hAnsi="Arial" w:cs="Arial"/>
        </w:rPr>
      </w:pPr>
    </w:p>
    <w:p w:rsidR="0013057F" w:rsidRDefault="00057B7B" w:rsidP="002A63A1">
      <w:pPr>
        <w:pStyle w:val="ListParagraph"/>
        <w:numPr>
          <w:ilvl w:val="1"/>
          <w:numId w:val="1"/>
        </w:numPr>
        <w:spacing w:after="0" w:line="240" w:lineRule="auto"/>
        <w:rPr>
          <w:rFonts w:ascii="Arial" w:hAnsi="Arial" w:cs="Arial"/>
        </w:rPr>
      </w:pPr>
      <w:r w:rsidRPr="00FA7CAB">
        <w:rPr>
          <w:rFonts w:ascii="Arial" w:hAnsi="Arial" w:cs="Arial"/>
          <w:b/>
          <w:u w:val="single"/>
        </w:rPr>
        <w:t>Sauvie Island Local Option Levy</w:t>
      </w:r>
      <w:r w:rsidRPr="00FA7CAB">
        <w:rPr>
          <w:rFonts w:ascii="Arial" w:hAnsi="Arial" w:cs="Arial"/>
        </w:rPr>
        <w:t xml:space="preserve"> hearing </w:t>
      </w:r>
      <w:r w:rsidR="00FA7CAB">
        <w:rPr>
          <w:rFonts w:ascii="Arial" w:hAnsi="Arial" w:cs="Arial"/>
        </w:rPr>
        <w:t>w</w:t>
      </w:r>
      <w:r w:rsidR="00FA7CAB" w:rsidRPr="00FA7CAB">
        <w:rPr>
          <w:rFonts w:ascii="Arial" w:hAnsi="Arial" w:cs="Arial"/>
        </w:rPr>
        <w:t>ill be held October 17, 2019 at the TSCC Office in the conference room</w:t>
      </w:r>
      <w:r w:rsidR="00FA7CAB">
        <w:rPr>
          <w:rFonts w:ascii="Arial" w:hAnsi="Arial" w:cs="Arial"/>
        </w:rPr>
        <w:t xml:space="preserve"> at 3:00 </w:t>
      </w:r>
      <w:r w:rsidR="006232F7">
        <w:rPr>
          <w:rFonts w:ascii="Arial" w:hAnsi="Arial" w:cs="Arial"/>
        </w:rPr>
        <w:t>p.m.</w:t>
      </w:r>
      <w:r w:rsidR="006232F7" w:rsidRPr="00FA7CAB">
        <w:rPr>
          <w:rFonts w:ascii="Arial" w:hAnsi="Arial" w:cs="Arial"/>
        </w:rPr>
        <w:t xml:space="preserve"> </w:t>
      </w:r>
    </w:p>
    <w:p w:rsidR="004D39B4" w:rsidRPr="003A62FF" w:rsidRDefault="0013057F" w:rsidP="004D39B4">
      <w:pPr>
        <w:pStyle w:val="ListParagraph"/>
        <w:numPr>
          <w:ilvl w:val="3"/>
          <w:numId w:val="1"/>
        </w:numPr>
        <w:spacing w:after="0" w:line="240" w:lineRule="auto"/>
        <w:ind w:left="1710" w:hanging="270"/>
        <w:rPr>
          <w:rFonts w:ascii="Arial" w:hAnsi="Arial" w:cs="Arial"/>
        </w:rPr>
      </w:pPr>
      <w:r>
        <w:rPr>
          <w:rFonts w:ascii="Arial" w:hAnsi="Arial" w:cs="Arial"/>
        </w:rPr>
        <w:t>The questions were discussed, revised</w:t>
      </w:r>
      <w:r w:rsidR="002D5CC8">
        <w:rPr>
          <w:rFonts w:ascii="Arial" w:hAnsi="Arial" w:cs="Arial"/>
        </w:rPr>
        <w:t>, renumbered,</w:t>
      </w:r>
      <w:r>
        <w:rPr>
          <w:rFonts w:ascii="Arial" w:hAnsi="Arial" w:cs="Arial"/>
        </w:rPr>
        <w:t xml:space="preserve"> deleted and some added</w:t>
      </w:r>
      <w:r w:rsidR="004D39B4">
        <w:rPr>
          <w:rFonts w:ascii="Arial" w:hAnsi="Arial" w:cs="Arial"/>
        </w:rPr>
        <w:t xml:space="preserve">. It was suggested that the questions lean towards the amount of money received in the past compared to what was anticipated and how </w:t>
      </w:r>
      <w:r w:rsidR="004D39B4" w:rsidRPr="003A62FF">
        <w:rPr>
          <w:rFonts w:ascii="Arial" w:hAnsi="Arial" w:cs="Arial"/>
        </w:rPr>
        <w:t xml:space="preserve">it has been used to benefit the district. It was suggested to stay away from the capital purchases and concentrate on the operations of the district. This is an operational levy. </w:t>
      </w:r>
    </w:p>
    <w:p w:rsidR="00FD679D" w:rsidRDefault="0013057F" w:rsidP="0013057F">
      <w:pPr>
        <w:pStyle w:val="ListParagraph"/>
        <w:numPr>
          <w:ilvl w:val="3"/>
          <w:numId w:val="1"/>
        </w:numPr>
        <w:spacing w:after="0" w:line="240" w:lineRule="auto"/>
        <w:ind w:left="1710" w:hanging="270"/>
        <w:rPr>
          <w:rFonts w:ascii="Arial" w:hAnsi="Arial" w:cs="Arial"/>
        </w:rPr>
      </w:pPr>
      <w:r w:rsidRPr="003A62FF">
        <w:rPr>
          <w:rFonts w:ascii="Arial" w:hAnsi="Arial" w:cs="Arial"/>
        </w:rPr>
        <w:t xml:space="preserve">Questions may include </w:t>
      </w:r>
      <w:r w:rsidR="002D5CC8" w:rsidRPr="003A62FF">
        <w:rPr>
          <w:rFonts w:ascii="Arial" w:hAnsi="Arial" w:cs="Arial"/>
        </w:rPr>
        <w:t>“</w:t>
      </w:r>
      <w:r w:rsidR="006232F7" w:rsidRPr="003A62FF">
        <w:rPr>
          <w:rFonts w:ascii="Arial" w:hAnsi="Arial" w:cs="Arial"/>
        </w:rPr>
        <w:t>What activities have been done or are planned to inform voters of the issues involved and why the local option levy is necessary?</w:t>
      </w:r>
      <w:r w:rsidR="003A62FF" w:rsidRPr="003A62FF">
        <w:rPr>
          <w:rFonts w:ascii="Arial" w:hAnsi="Arial" w:cs="Arial"/>
        </w:rPr>
        <w:t xml:space="preserve"> Does the district have measurable outcomes for the use of the funds from this local option levy?</w:t>
      </w:r>
      <w:r w:rsidR="002D5CC8" w:rsidRPr="003A62FF">
        <w:rPr>
          <w:rFonts w:ascii="Arial" w:hAnsi="Arial" w:cs="Arial"/>
        </w:rPr>
        <w:t xml:space="preserve"> Would the district consider reducing the rate since the collection of taxes has surpassed expectations using the same rate as what is currently being levied. </w:t>
      </w:r>
    </w:p>
    <w:p w:rsidR="001A230C" w:rsidRPr="001A230C" w:rsidRDefault="001A230C" w:rsidP="001A230C">
      <w:pPr>
        <w:spacing w:after="0" w:line="240" w:lineRule="auto"/>
        <w:ind w:left="1440"/>
        <w:rPr>
          <w:rFonts w:ascii="Arial" w:hAnsi="Arial" w:cs="Arial"/>
        </w:rPr>
      </w:pPr>
    </w:p>
    <w:p w:rsidR="00FB5C08" w:rsidRDefault="00B84DB0" w:rsidP="005E6717">
      <w:pPr>
        <w:pStyle w:val="ListParagraph"/>
        <w:numPr>
          <w:ilvl w:val="0"/>
          <w:numId w:val="1"/>
        </w:numPr>
        <w:spacing w:after="0" w:line="240" w:lineRule="auto"/>
        <w:rPr>
          <w:rFonts w:ascii="Arial" w:hAnsi="Arial" w:cs="Arial"/>
        </w:rPr>
      </w:pPr>
      <w:r w:rsidRPr="003A62FF">
        <w:rPr>
          <w:rFonts w:ascii="Arial" w:hAnsi="Arial" w:cs="Arial"/>
        </w:rPr>
        <w:t xml:space="preserve">Next </w:t>
      </w:r>
      <w:r w:rsidR="00FB5C08">
        <w:rPr>
          <w:rFonts w:ascii="Arial" w:hAnsi="Arial" w:cs="Arial"/>
        </w:rPr>
        <w:t xml:space="preserve">TSCC meeting will be in November. Date, time and place to be determined. </w:t>
      </w:r>
    </w:p>
    <w:p w:rsidR="001A230C" w:rsidRPr="001A230C" w:rsidRDefault="001A230C" w:rsidP="001A230C">
      <w:pPr>
        <w:spacing w:after="0" w:line="240" w:lineRule="auto"/>
        <w:ind w:left="360"/>
        <w:rPr>
          <w:rFonts w:ascii="Arial" w:hAnsi="Arial" w:cs="Arial"/>
        </w:rPr>
      </w:pPr>
    </w:p>
    <w:p w:rsidR="00D36D9C" w:rsidRDefault="00FB5C08" w:rsidP="005E6717">
      <w:pPr>
        <w:pStyle w:val="ListParagraph"/>
        <w:numPr>
          <w:ilvl w:val="0"/>
          <w:numId w:val="1"/>
        </w:numPr>
        <w:spacing w:after="0" w:line="240" w:lineRule="auto"/>
        <w:rPr>
          <w:rFonts w:ascii="Arial" w:hAnsi="Arial" w:cs="Arial"/>
        </w:rPr>
      </w:pPr>
      <w:r>
        <w:rPr>
          <w:rFonts w:ascii="Arial" w:hAnsi="Arial" w:cs="Arial"/>
        </w:rPr>
        <w:t>Next h</w:t>
      </w:r>
      <w:r w:rsidR="004D39B4" w:rsidRPr="003A62FF">
        <w:rPr>
          <w:rFonts w:ascii="Arial" w:hAnsi="Arial" w:cs="Arial"/>
        </w:rPr>
        <w:t xml:space="preserve">earing </w:t>
      </w:r>
      <w:r w:rsidR="00B84DB0" w:rsidRPr="003A62FF">
        <w:rPr>
          <w:rFonts w:ascii="Arial" w:hAnsi="Arial" w:cs="Arial"/>
        </w:rPr>
        <w:t xml:space="preserve">be held </w:t>
      </w:r>
      <w:r w:rsidR="005E6717" w:rsidRPr="003A62FF">
        <w:rPr>
          <w:rFonts w:ascii="Arial" w:hAnsi="Arial" w:cs="Arial"/>
        </w:rPr>
        <w:t xml:space="preserve">Tuesday, </w:t>
      </w:r>
      <w:r w:rsidR="00FD679D" w:rsidRPr="003A62FF">
        <w:rPr>
          <w:rFonts w:ascii="Arial" w:hAnsi="Arial" w:cs="Arial"/>
        </w:rPr>
        <w:t>October 1</w:t>
      </w:r>
      <w:r w:rsidR="004D39B4" w:rsidRPr="003A62FF">
        <w:rPr>
          <w:rFonts w:ascii="Arial" w:hAnsi="Arial" w:cs="Arial"/>
        </w:rPr>
        <w:t>5</w:t>
      </w:r>
      <w:r w:rsidR="00FD679D" w:rsidRPr="003A62FF">
        <w:rPr>
          <w:rFonts w:ascii="Arial" w:hAnsi="Arial" w:cs="Arial"/>
        </w:rPr>
        <w:t xml:space="preserve"> at </w:t>
      </w:r>
      <w:r w:rsidR="004D39B4" w:rsidRPr="003A62FF">
        <w:rPr>
          <w:rFonts w:ascii="Arial" w:hAnsi="Arial" w:cs="Arial"/>
        </w:rPr>
        <w:t>5</w:t>
      </w:r>
      <w:r w:rsidR="00FD679D" w:rsidRPr="003A62FF">
        <w:rPr>
          <w:rFonts w:ascii="Arial" w:hAnsi="Arial" w:cs="Arial"/>
        </w:rPr>
        <w:t>:00 p.m</w:t>
      </w:r>
      <w:r w:rsidR="00FD679D" w:rsidRPr="00702880">
        <w:rPr>
          <w:rFonts w:ascii="Arial" w:hAnsi="Arial" w:cs="Arial"/>
        </w:rPr>
        <w:t>.</w:t>
      </w:r>
      <w:r w:rsidR="00B84DB0" w:rsidRPr="00702880">
        <w:rPr>
          <w:rFonts w:ascii="Arial" w:hAnsi="Arial" w:cs="Arial"/>
        </w:rPr>
        <w:t xml:space="preserve"> </w:t>
      </w:r>
      <w:r w:rsidR="004D39B4">
        <w:rPr>
          <w:rFonts w:ascii="Arial" w:hAnsi="Arial" w:cs="Arial"/>
        </w:rPr>
        <w:t xml:space="preserve">at PPS for their Local Option Tax Levy </w:t>
      </w:r>
      <w:r w:rsidR="001A230C">
        <w:rPr>
          <w:rFonts w:ascii="Arial" w:hAnsi="Arial" w:cs="Arial"/>
        </w:rPr>
        <w:t>Hearing</w:t>
      </w:r>
    </w:p>
    <w:p w:rsidR="001A230C" w:rsidRPr="001A230C" w:rsidRDefault="001A230C" w:rsidP="001A230C">
      <w:pPr>
        <w:spacing w:after="0" w:line="240" w:lineRule="auto"/>
        <w:rPr>
          <w:rFonts w:ascii="Arial" w:hAnsi="Arial" w:cs="Arial"/>
        </w:rPr>
      </w:pPr>
    </w:p>
    <w:p w:rsidR="00DA5836" w:rsidRPr="00702880" w:rsidRDefault="00DA5836" w:rsidP="00777C67">
      <w:pPr>
        <w:pStyle w:val="ListParagraph"/>
        <w:numPr>
          <w:ilvl w:val="0"/>
          <w:numId w:val="1"/>
        </w:numPr>
        <w:spacing w:after="0" w:line="240" w:lineRule="auto"/>
        <w:rPr>
          <w:rFonts w:ascii="Arial" w:hAnsi="Arial" w:cs="Arial"/>
        </w:rPr>
      </w:pPr>
      <w:r w:rsidRPr="00702880">
        <w:rPr>
          <w:rFonts w:ascii="Arial" w:hAnsi="Arial" w:cs="Arial"/>
        </w:rPr>
        <w:t xml:space="preserve">Chair Barringer </w:t>
      </w:r>
      <w:r w:rsidR="00067584" w:rsidRPr="00702880">
        <w:rPr>
          <w:rFonts w:ascii="Arial" w:hAnsi="Arial" w:cs="Arial"/>
        </w:rPr>
        <w:t xml:space="preserve">adjourned </w:t>
      </w:r>
      <w:r w:rsidR="00500551" w:rsidRPr="00702880">
        <w:rPr>
          <w:rFonts w:ascii="Arial" w:hAnsi="Arial" w:cs="Arial"/>
        </w:rPr>
        <w:t>the meeting at 1:</w:t>
      </w:r>
      <w:r w:rsidR="005E6717" w:rsidRPr="00702880">
        <w:rPr>
          <w:rFonts w:ascii="Arial" w:hAnsi="Arial" w:cs="Arial"/>
        </w:rPr>
        <w:t>27</w:t>
      </w:r>
      <w:r w:rsidRPr="00702880">
        <w:rPr>
          <w:rFonts w:ascii="Arial" w:hAnsi="Arial" w:cs="Arial"/>
        </w:rPr>
        <w:t xml:space="preserve"> </w:t>
      </w:r>
      <w:r w:rsidR="00067584" w:rsidRPr="00702880">
        <w:rPr>
          <w:rFonts w:ascii="Arial" w:hAnsi="Arial" w:cs="Arial"/>
        </w:rPr>
        <w:t>pm</w:t>
      </w:r>
      <w:r w:rsidRPr="00702880">
        <w:rPr>
          <w:rFonts w:ascii="Arial" w:hAnsi="Arial" w:cs="Arial"/>
        </w:rPr>
        <w:t xml:space="preserve">. </w:t>
      </w:r>
    </w:p>
    <w:p w:rsidR="00174064" w:rsidRPr="00702880" w:rsidRDefault="00174064" w:rsidP="002E1DAE">
      <w:pPr>
        <w:spacing w:after="0" w:line="240" w:lineRule="auto"/>
        <w:rPr>
          <w:rFonts w:ascii="Arial" w:hAnsi="Arial" w:cs="Arial"/>
        </w:rPr>
      </w:pPr>
    </w:p>
    <w:p w:rsidR="00981BE8" w:rsidRPr="00702880" w:rsidRDefault="00981BE8" w:rsidP="002E1DAE">
      <w:pPr>
        <w:spacing w:after="0" w:line="240" w:lineRule="auto"/>
        <w:rPr>
          <w:rFonts w:ascii="Arial" w:hAnsi="Arial" w:cs="Arial"/>
        </w:rPr>
      </w:pPr>
      <w:r w:rsidRPr="00702880">
        <w:rPr>
          <w:rFonts w:ascii="Arial" w:hAnsi="Arial" w:cs="Arial"/>
        </w:rPr>
        <w:t>Attachments:</w:t>
      </w:r>
    </w:p>
    <w:p w:rsidR="00981BE8" w:rsidRDefault="00981BE8" w:rsidP="004277F9">
      <w:pPr>
        <w:pStyle w:val="ListParagraph"/>
        <w:numPr>
          <w:ilvl w:val="0"/>
          <w:numId w:val="23"/>
        </w:numPr>
        <w:spacing w:after="0" w:line="240" w:lineRule="auto"/>
        <w:rPr>
          <w:rFonts w:ascii="Arial" w:hAnsi="Arial" w:cs="Arial"/>
        </w:rPr>
      </w:pPr>
      <w:r w:rsidRPr="00702880">
        <w:rPr>
          <w:rFonts w:ascii="Arial" w:hAnsi="Arial" w:cs="Arial"/>
        </w:rPr>
        <w:t>TSCC Budget Analysis FY19</w:t>
      </w:r>
    </w:p>
    <w:p w:rsidR="009D40D4" w:rsidRDefault="009D40D4" w:rsidP="009D40D4">
      <w:pPr>
        <w:pStyle w:val="ListParagraph"/>
        <w:numPr>
          <w:ilvl w:val="0"/>
          <w:numId w:val="23"/>
        </w:numPr>
        <w:spacing w:after="0" w:line="240" w:lineRule="auto"/>
        <w:rPr>
          <w:rFonts w:ascii="Arial" w:hAnsi="Arial" w:cs="Arial"/>
        </w:rPr>
      </w:pPr>
      <w:hyperlink r:id="rId8" w:history="1">
        <w:r w:rsidRPr="009D40D4">
          <w:rPr>
            <w:rStyle w:val="Hyperlink"/>
            <w:rFonts w:ascii="Arial" w:hAnsi="Arial" w:cs="Arial"/>
          </w:rPr>
          <w:t>Tax  Measure Hearing Reviews</w:t>
        </w:r>
      </w:hyperlink>
      <w:r>
        <w:rPr>
          <w:rFonts w:ascii="Arial" w:hAnsi="Arial" w:cs="Arial"/>
        </w:rPr>
        <w:t xml:space="preserve"> </w:t>
      </w:r>
    </w:p>
    <w:p w:rsidR="009D40D4" w:rsidRPr="009D40D4" w:rsidRDefault="009D40D4" w:rsidP="009D40D4">
      <w:pPr>
        <w:spacing w:after="0" w:line="240" w:lineRule="auto"/>
        <w:ind w:left="360"/>
        <w:rPr>
          <w:rFonts w:ascii="Arial" w:hAnsi="Arial" w:cs="Arial"/>
          <w:sz w:val="20"/>
        </w:rPr>
      </w:pPr>
      <w:r>
        <w:rPr>
          <w:rFonts w:ascii="Arial" w:hAnsi="Arial" w:cs="Arial"/>
          <w:sz w:val="20"/>
        </w:rPr>
        <w:t xml:space="preserve">       </w:t>
      </w:r>
      <w:r w:rsidRPr="009D40D4">
        <w:rPr>
          <w:rFonts w:ascii="Arial" w:hAnsi="Arial" w:cs="Arial"/>
          <w:sz w:val="20"/>
        </w:rPr>
        <w:t>(http://www.tsccmultco.com/wp-content/uploads/Nov-2019-Tax-Measure-Hearing-Reviews.pdf)</w:t>
      </w:r>
    </w:p>
    <w:p w:rsidR="00013856" w:rsidRPr="00702880" w:rsidRDefault="00013856" w:rsidP="004277F9">
      <w:pPr>
        <w:pStyle w:val="ListParagraph"/>
        <w:numPr>
          <w:ilvl w:val="0"/>
          <w:numId w:val="23"/>
        </w:numPr>
        <w:spacing w:after="0" w:line="240" w:lineRule="auto"/>
        <w:rPr>
          <w:rFonts w:ascii="Arial" w:hAnsi="Arial" w:cs="Arial"/>
        </w:rPr>
      </w:pPr>
      <w:r>
        <w:rPr>
          <w:rFonts w:ascii="Arial" w:hAnsi="Arial" w:cs="Arial"/>
        </w:rPr>
        <w:t>Hearing Questions reflecting Commissioner Review</w:t>
      </w:r>
    </w:p>
    <w:p w:rsidR="009D6A95" w:rsidRPr="00702880" w:rsidRDefault="009D6A95" w:rsidP="002E1DAE">
      <w:pPr>
        <w:spacing w:after="0" w:line="240" w:lineRule="auto"/>
        <w:rPr>
          <w:rFonts w:ascii="Arial" w:hAnsi="Arial" w:cs="Arial"/>
        </w:rPr>
      </w:pPr>
    </w:p>
    <w:p w:rsidR="004919FF" w:rsidRDefault="00DA5836" w:rsidP="00AB6F81">
      <w:pPr>
        <w:spacing w:after="0" w:line="240" w:lineRule="auto"/>
        <w:rPr>
          <w:rFonts w:ascii="Arial" w:hAnsi="Arial" w:cs="Arial"/>
        </w:rPr>
      </w:pPr>
      <w:r w:rsidRPr="00702880">
        <w:rPr>
          <w:rFonts w:ascii="Arial" w:hAnsi="Arial" w:cs="Arial"/>
        </w:rPr>
        <w:t>Craig Gibons, Executive Director</w:t>
      </w:r>
    </w:p>
    <w:p w:rsidR="00013856" w:rsidRDefault="00013856" w:rsidP="00AB6F81">
      <w:pPr>
        <w:spacing w:after="0" w:line="240" w:lineRule="auto"/>
        <w:rPr>
          <w:rFonts w:ascii="Arial" w:hAnsi="Arial" w:cs="Arial"/>
          <w:b/>
          <w:color w:val="FF0000"/>
        </w:rPr>
      </w:pPr>
      <w:r w:rsidRPr="00013856">
        <w:rPr>
          <w:rFonts w:ascii="Arial" w:hAnsi="Arial" w:cs="Arial"/>
          <w:b/>
          <w:color w:val="FF0000"/>
        </w:rPr>
        <w:t>Approved by Commission at its November 26, 2019 meeting.</w:t>
      </w:r>
    </w:p>
    <w:p w:rsidR="00013856" w:rsidRDefault="00013856" w:rsidP="00AB6F81">
      <w:pPr>
        <w:spacing w:after="0" w:line="240" w:lineRule="auto"/>
        <w:rPr>
          <w:rFonts w:ascii="Arial" w:hAnsi="Arial" w:cs="Arial"/>
          <w:b/>
          <w:color w:val="FF0000"/>
        </w:rPr>
      </w:pPr>
    </w:p>
    <w:p w:rsidR="00013856" w:rsidRDefault="00013856" w:rsidP="00AB6F81">
      <w:pPr>
        <w:spacing w:after="0" w:line="240" w:lineRule="auto"/>
        <w:rPr>
          <w:rFonts w:ascii="Arial" w:hAnsi="Arial" w:cs="Arial"/>
          <w:b/>
          <w:color w:val="FF0000"/>
        </w:rPr>
      </w:pPr>
    </w:p>
    <w:p w:rsidR="00013856" w:rsidRPr="00013856" w:rsidRDefault="00013856" w:rsidP="00AB6F81">
      <w:pPr>
        <w:spacing w:after="0" w:line="240" w:lineRule="auto"/>
        <w:rPr>
          <w:rFonts w:ascii="Arial" w:hAnsi="Arial" w:cs="Arial"/>
          <w:b/>
          <w:color w:val="FF0000"/>
        </w:rPr>
      </w:pPr>
    </w:p>
    <w:p w:rsidR="004919FF" w:rsidRDefault="009D40D4" w:rsidP="00174064">
      <w:pPr>
        <w:spacing w:after="0" w:line="240" w:lineRule="auto"/>
        <w:rPr>
          <w:rFonts w:ascii="Arial" w:hAnsi="Arial" w:cs="Arial"/>
        </w:rPr>
      </w:pPr>
      <w:r w:rsidRPr="009D40D4">
        <w:rPr>
          <w:rFonts w:ascii="Arial" w:hAnsi="Arial" w:cs="Arial"/>
          <w:noProof/>
        </w:rPr>
        <w:drawing>
          <wp:inline distT="0" distB="0" distL="0" distR="0">
            <wp:extent cx="5943600" cy="2878727"/>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2878727"/>
                    </a:xfrm>
                    <a:prstGeom prst="rect">
                      <a:avLst/>
                    </a:prstGeom>
                    <a:noFill/>
                    <a:ln>
                      <a:noFill/>
                    </a:ln>
                  </pic:spPr>
                </pic:pic>
              </a:graphicData>
            </a:graphic>
          </wp:inline>
        </w:drawing>
      </w:r>
    </w:p>
    <w:p w:rsidR="009D40D4" w:rsidRDefault="009D40D4" w:rsidP="00174064">
      <w:pPr>
        <w:spacing w:after="0" w:line="240" w:lineRule="auto"/>
        <w:rPr>
          <w:rFonts w:ascii="Arial" w:hAnsi="Arial" w:cs="Arial"/>
        </w:rPr>
      </w:pPr>
    </w:p>
    <w:p w:rsidR="009D40D4" w:rsidRDefault="002870FB" w:rsidP="002870FB">
      <w:pPr>
        <w:spacing w:after="0" w:line="240" w:lineRule="auto"/>
        <w:jc w:val="center"/>
        <w:rPr>
          <w:rFonts w:ascii="Arial" w:hAnsi="Arial" w:cs="Arial"/>
        </w:rPr>
      </w:pPr>
      <w:r>
        <w:rPr>
          <w:noProof/>
        </w:rPr>
        <w:lastRenderedPageBreak/>
        <w:drawing>
          <wp:inline distT="0" distB="0" distL="0" distR="0" wp14:anchorId="6410F86C" wp14:editId="23A70267">
            <wp:extent cx="5825066" cy="8162175"/>
            <wp:effectExtent l="0" t="0" r="444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848035" cy="8194359"/>
                    </a:xfrm>
                    <a:prstGeom prst="rect">
                      <a:avLst/>
                    </a:prstGeom>
                  </pic:spPr>
                </pic:pic>
              </a:graphicData>
            </a:graphic>
          </wp:inline>
        </w:drawing>
      </w: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r>
        <w:rPr>
          <w:noProof/>
        </w:rPr>
        <w:drawing>
          <wp:inline distT="0" distB="0" distL="0" distR="0" wp14:anchorId="25043F31" wp14:editId="12ACCE05">
            <wp:extent cx="5819369" cy="7230533"/>
            <wp:effectExtent l="0" t="0" r="0" b="889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851694" cy="7270696"/>
                    </a:xfrm>
                    <a:prstGeom prst="rect">
                      <a:avLst/>
                    </a:prstGeom>
                  </pic:spPr>
                </pic:pic>
              </a:graphicData>
            </a:graphic>
          </wp:inline>
        </w:drawing>
      </w: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p>
    <w:p w:rsidR="002870FB" w:rsidRDefault="002870FB" w:rsidP="002870FB">
      <w:pPr>
        <w:spacing w:after="0" w:line="240" w:lineRule="auto"/>
        <w:jc w:val="center"/>
        <w:rPr>
          <w:rFonts w:ascii="Arial" w:hAnsi="Arial" w:cs="Arial"/>
        </w:rPr>
      </w:pPr>
    </w:p>
    <w:p w:rsidR="002870FB" w:rsidRPr="00702880" w:rsidRDefault="002870FB" w:rsidP="002870FB">
      <w:pPr>
        <w:spacing w:after="0" w:line="240" w:lineRule="auto"/>
        <w:jc w:val="center"/>
        <w:rPr>
          <w:rFonts w:ascii="Arial" w:hAnsi="Arial" w:cs="Arial"/>
        </w:rPr>
      </w:pPr>
      <w:r>
        <w:rPr>
          <w:noProof/>
        </w:rPr>
        <w:drawing>
          <wp:inline distT="0" distB="0" distL="0" distR="0" wp14:anchorId="682C0880" wp14:editId="14D5830C">
            <wp:extent cx="5787434" cy="6460066"/>
            <wp:effectExtent l="0" t="0" r="381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795676" cy="6469266"/>
                    </a:xfrm>
                    <a:prstGeom prst="rect">
                      <a:avLst/>
                    </a:prstGeom>
                  </pic:spPr>
                </pic:pic>
              </a:graphicData>
            </a:graphic>
          </wp:inline>
        </w:drawing>
      </w:r>
    </w:p>
    <w:sectPr w:rsidR="002870FB" w:rsidRPr="00702880" w:rsidSect="00013856">
      <w:headerReference w:type="default" r:id="rId13"/>
      <w:footerReference w:type="default" r:id="rId14"/>
      <w:headerReference w:type="first" r:id="rId15"/>
      <w:pgSz w:w="12240" w:h="15840"/>
      <w:pgMar w:top="1440" w:right="1440" w:bottom="90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678F" w:rsidRDefault="0076678F" w:rsidP="003048D3">
      <w:pPr>
        <w:spacing w:after="0" w:line="240" w:lineRule="auto"/>
      </w:pPr>
      <w:r>
        <w:separator/>
      </w:r>
    </w:p>
  </w:endnote>
  <w:endnote w:type="continuationSeparator" w:id="0">
    <w:p w:rsidR="0076678F" w:rsidRDefault="0076678F" w:rsidP="003048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7095D" w:rsidRPr="0007095D" w:rsidRDefault="0007095D" w:rsidP="0007095D">
    <w:pPr>
      <w:pStyle w:val="Footer"/>
      <w:jc w:val="right"/>
      <w:rPr>
        <w:sz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678F" w:rsidRDefault="0076678F" w:rsidP="003048D3">
      <w:pPr>
        <w:spacing w:after="0" w:line="240" w:lineRule="auto"/>
      </w:pPr>
      <w:r>
        <w:separator/>
      </w:r>
    </w:p>
  </w:footnote>
  <w:footnote w:type="continuationSeparator" w:id="0">
    <w:p w:rsidR="0076678F" w:rsidRDefault="0076678F" w:rsidP="003048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1513" w:rsidRDefault="00331513" w:rsidP="00331513">
    <w:pPr>
      <w:pStyle w:val="Header"/>
      <w:pBdr>
        <w:bottom w:val="single" w:sz="12" w:space="1" w:color="006600"/>
      </w:pBdr>
      <w:tabs>
        <w:tab w:val="center" w:pos="4320"/>
      </w:tabs>
    </w:pPr>
    <w:r>
      <w:tab/>
    </w:r>
    <w:r w:rsidR="00013856">
      <w:rPr>
        <w:noProof/>
      </w:rPr>
      <w:drawing>
        <wp:inline distT="0" distB="0" distL="0" distR="0" wp14:anchorId="71F997FA">
          <wp:extent cx="3810635" cy="8413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841375"/>
                  </a:xfrm>
                  <a:prstGeom prst="rect">
                    <a:avLst/>
                  </a:prstGeom>
                  <a:noFill/>
                </pic:spPr>
              </pic:pic>
            </a:graphicData>
          </a:graphic>
        </wp:inline>
      </w:drawing>
    </w:r>
    <w:r>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919FF" w:rsidRDefault="00013856" w:rsidP="00013856">
    <w:pPr>
      <w:pStyle w:val="Header"/>
      <w:jc w:val="center"/>
    </w:pPr>
    <w:r>
      <w:rPr>
        <w:noProof/>
      </w:rPr>
      <w:drawing>
        <wp:inline distT="0" distB="0" distL="0" distR="0" wp14:anchorId="61549161">
          <wp:extent cx="3810635" cy="84137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0635" cy="841375"/>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C93EE33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15175F"/>
    <w:multiLevelType w:val="hybridMultilevel"/>
    <w:tmpl w:val="8398E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47C2E00"/>
    <w:multiLevelType w:val="hybridMultilevel"/>
    <w:tmpl w:val="531A7592"/>
    <w:lvl w:ilvl="0" w:tplc="07E6599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9535A44"/>
    <w:multiLevelType w:val="hybridMultilevel"/>
    <w:tmpl w:val="6B24A556"/>
    <w:lvl w:ilvl="0" w:tplc="FF0C3C70">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D86427"/>
    <w:multiLevelType w:val="hybridMultilevel"/>
    <w:tmpl w:val="F6166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0D148A"/>
    <w:multiLevelType w:val="hybridMultilevel"/>
    <w:tmpl w:val="27902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920789D"/>
    <w:multiLevelType w:val="hybridMultilevel"/>
    <w:tmpl w:val="D8DE3F4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AF81562"/>
    <w:multiLevelType w:val="multilevel"/>
    <w:tmpl w:val="E5B86F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0400B3"/>
    <w:multiLevelType w:val="hybridMultilevel"/>
    <w:tmpl w:val="F42031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C9D0C5B"/>
    <w:multiLevelType w:val="hybridMultilevel"/>
    <w:tmpl w:val="84F04C3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0C33DE1"/>
    <w:multiLevelType w:val="hybridMultilevel"/>
    <w:tmpl w:val="1DE655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8525C0"/>
    <w:multiLevelType w:val="hybridMultilevel"/>
    <w:tmpl w:val="D11A93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3141B04"/>
    <w:multiLevelType w:val="hybridMultilevel"/>
    <w:tmpl w:val="5E1600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58C55FF"/>
    <w:multiLevelType w:val="hybridMultilevel"/>
    <w:tmpl w:val="D67CD9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F83E5D"/>
    <w:multiLevelType w:val="hybridMultilevel"/>
    <w:tmpl w:val="B62EB03A"/>
    <w:lvl w:ilvl="0" w:tplc="427037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2542F0C"/>
    <w:multiLevelType w:val="hybridMultilevel"/>
    <w:tmpl w:val="DE82A4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57E1C01"/>
    <w:multiLevelType w:val="hybridMultilevel"/>
    <w:tmpl w:val="89D419C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5AF5290F"/>
    <w:multiLevelType w:val="hybridMultilevel"/>
    <w:tmpl w:val="477E32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04A533A"/>
    <w:multiLevelType w:val="hybridMultilevel"/>
    <w:tmpl w:val="728AB9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103019D"/>
    <w:multiLevelType w:val="hybridMultilevel"/>
    <w:tmpl w:val="08CA6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1042251"/>
    <w:multiLevelType w:val="hybridMultilevel"/>
    <w:tmpl w:val="71F415F6"/>
    <w:lvl w:ilvl="0" w:tplc="41665B5E">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54C51A6"/>
    <w:multiLevelType w:val="hybridMultilevel"/>
    <w:tmpl w:val="1FEAAC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B5B638B"/>
    <w:multiLevelType w:val="hybridMultilevel"/>
    <w:tmpl w:val="B268B0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62282074">
      <w:start w:val="1"/>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E8408CE"/>
    <w:multiLevelType w:val="hybridMultilevel"/>
    <w:tmpl w:val="DEAC02BC"/>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24" w15:restartNumberingAfterBreak="0">
    <w:nsid w:val="7B85766C"/>
    <w:multiLevelType w:val="hybridMultilevel"/>
    <w:tmpl w:val="6F26A74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C4F2819"/>
    <w:multiLevelType w:val="hybridMultilevel"/>
    <w:tmpl w:val="07FA5A6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6" w15:restartNumberingAfterBreak="0">
    <w:nsid w:val="7EC516D3"/>
    <w:multiLevelType w:val="hybridMultilevel"/>
    <w:tmpl w:val="C4D22A0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2"/>
  </w:num>
  <w:num w:numId="2">
    <w:abstractNumId w:val="24"/>
  </w:num>
  <w:num w:numId="3">
    <w:abstractNumId w:val="20"/>
  </w:num>
  <w:num w:numId="4">
    <w:abstractNumId w:val="23"/>
  </w:num>
  <w:num w:numId="5">
    <w:abstractNumId w:val="17"/>
  </w:num>
  <w:num w:numId="6">
    <w:abstractNumId w:val="26"/>
  </w:num>
  <w:num w:numId="7">
    <w:abstractNumId w:val="13"/>
  </w:num>
  <w:num w:numId="8">
    <w:abstractNumId w:val="0"/>
  </w:num>
  <w:num w:numId="9">
    <w:abstractNumId w:val="14"/>
  </w:num>
  <w:num w:numId="10">
    <w:abstractNumId w:val="25"/>
  </w:num>
  <w:num w:numId="11">
    <w:abstractNumId w:val="16"/>
  </w:num>
  <w:num w:numId="12">
    <w:abstractNumId w:val="7"/>
  </w:num>
  <w:num w:numId="13">
    <w:abstractNumId w:val="9"/>
  </w:num>
  <w:num w:numId="14">
    <w:abstractNumId w:val="10"/>
  </w:num>
  <w:num w:numId="15">
    <w:abstractNumId w:val="12"/>
  </w:num>
  <w:num w:numId="16">
    <w:abstractNumId w:val="19"/>
  </w:num>
  <w:num w:numId="17">
    <w:abstractNumId w:val="5"/>
  </w:num>
  <w:num w:numId="18">
    <w:abstractNumId w:val="21"/>
  </w:num>
  <w:num w:numId="19">
    <w:abstractNumId w:val="15"/>
  </w:num>
  <w:num w:numId="20">
    <w:abstractNumId w:val="4"/>
  </w:num>
  <w:num w:numId="21">
    <w:abstractNumId w:val="11"/>
  </w:num>
  <w:num w:numId="22">
    <w:abstractNumId w:val="18"/>
  </w:num>
  <w:num w:numId="23">
    <w:abstractNumId w:val="3"/>
  </w:num>
  <w:num w:numId="24">
    <w:abstractNumId w:val="1"/>
  </w:num>
  <w:num w:numId="25">
    <w:abstractNumId w:val="6"/>
  </w:num>
  <w:num w:numId="26">
    <w:abstractNumId w:val="8"/>
  </w:num>
  <w:num w:numId="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20"/>
  <w:characterSpacingControl w:val="doNotCompress"/>
  <w:hdrShapeDefaults>
    <o:shapedefaults v:ext="edit" spidmax="6349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48D3"/>
    <w:rsid w:val="00011237"/>
    <w:rsid w:val="00013856"/>
    <w:rsid w:val="000142CE"/>
    <w:rsid w:val="00041300"/>
    <w:rsid w:val="0005243E"/>
    <w:rsid w:val="00054FFB"/>
    <w:rsid w:val="00056998"/>
    <w:rsid w:val="00057B7B"/>
    <w:rsid w:val="00067584"/>
    <w:rsid w:val="0007095D"/>
    <w:rsid w:val="00081526"/>
    <w:rsid w:val="00097952"/>
    <w:rsid w:val="000A57C6"/>
    <w:rsid w:val="000A6BA0"/>
    <w:rsid w:val="000B3E0A"/>
    <w:rsid w:val="000F5FFE"/>
    <w:rsid w:val="001041D9"/>
    <w:rsid w:val="0013057F"/>
    <w:rsid w:val="001502EB"/>
    <w:rsid w:val="00174064"/>
    <w:rsid w:val="001A018B"/>
    <w:rsid w:val="001A230C"/>
    <w:rsid w:val="001D3384"/>
    <w:rsid w:val="001D524A"/>
    <w:rsid w:val="001E65C8"/>
    <w:rsid w:val="001F6381"/>
    <w:rsid w:val="002210C8"/>
    <w:rsid w:val="00225C1E"/>
    <w:rsid w:val="0026442E"/>
    <w:rsid w:val="002767DA"/>
    <w:rsid w:val="00276991"/>
    <w:rsid w:val="002870FB"/>
    <w:rsid w:val="002B406F"/>
    <w:rsid w:val="002C2431"/>
    <w:rsid w:val="002C63D9"/>
    <w:rsid w:val="002D38A0"/>
    <w:rsid w:val="002D5CC8"/>
    <w:rsid w:val="002E1DAE"/>
    <w:rsid w:val="002E2FA0"/>
    <w:rsid w:val="002E64BD"/>
    <w:rsid w:val="003048D3"/>
    <w:rsid w:val="003050F4"/>
    <w:rsid w:val="00311DA6"/>
    <w:rsid w:val="00313DF8"/>
    <w:rsid w:val="00324EA9"/>
    <w:rsid w:val="00331513"/>
    <w:rsid w:val="00362EBB"/>
    <w:rsid w:val="00365390"/>
    <w:rsid w:val="00370C6E"/>
    <w:rsid w:val="00383726"/>
    <w:rsid w:val="003A0D08"/>
    <w:rsid w:val="003A62FF"/>
    <w:rsid w:val="003C0AC9"/>
    <w:rsid w:val="003E1E63"/>
    <w:rsid w:val="003E2CC4"/>
    <w:rsid w:val="003F4E90"/>
    <w:rsid w:val="004039DB"/>
    <w:rsid w:val="0041006B"/>
    <w:rsid w:val="00420E8F"/>
    <w:rsid w:val="0042505E"/>
    <w:rsid w:val="00426C07"/>
    <w:rsid w:val="004277F9"/>
    <w:rsid w:val="004345F9"/>
    <w:rsid w:val="00435511"/>
    <w:rsid w:val="00436DA5"/>
    <w:rsid w:val="00460177"/>
    <w:rsid w:val="004603AB"/>
    <w:rsid w:val="00465775"/>
    <w:rsid w:val="00467DEF"/>
    <w:rsid w:val="004919FF"/>
    <w:rsid w:val="004B537E"/>
    <w:rsid w:val="004D39B4"/>
    <w:rsid w:val="004D4F56"/>
    <w:rsid w:val="00500551"/>
    <w:rsid w:val="005067F6"/>
    <w:rsid w:val="0051120F"/>
    <w:rsid w:val="0053325E"/>
    <w:rsid w:val="00533721"/>
    <w:rsid w:val="00563F19"/>
    <w:rsid w:val="0057190E"/>
    <w:rsid w:val="00581400"/>
    <w:rsid w:val="00591A2F"/>
    <w:rsid w:val="005B2E44"/>
    <w:rsid w:val="005B3A91"/>
    <w:rsid w:val="005B3C9C"/>
    <w:rsid w:val="005C7C96"/>
    <w:rsid w:val="005E2529"/>
    <w:rsid w:val="005E6717"/>
    <w:rsid w:val="006232F7"/>
    <w:rsid w:val="0064234B"/>
    <w:rsid w:val="0065046D"/>
    <w:rsid w:val="0065687E"/>
    <w:rsid w:val="00661D62"/>
    <w:rsid w:val="006B2CFF"/>
    <w:rsid w:val="006C2FE1"/>
    <w:rsid w:val="006E5D04"/>
    <w:rsid w:val="006E6B8A"/>
    <w:rsid w:val="006E75EF"/>
    <w:rsid w:val="00702880"/>
    <w:rsid w:val="00702D25"/>
    <w:rsid w:val="00710278"/>
    <w:rsid w:val="00712DDD"/>
    <w:rsid w:val="0071560B"/>
    <w:rsid w:val="0072419F"/>
    <w:rsid w:val="00734320"/>
    <w:rsid w:val="00752381"/>
    <w:rsid w:val="007559FE"/>
    <w:rsid w:val="0076678F"/>
    <w:rsid w:val="00777C67"/>
    <w:rsid w:val="00784DD0"/>
    <w:rsid w:val="007A5637"/>
    <w:rsid w:val="007B3471"/>
    <w:rsid w:val="007B75B6"/>
    <w:rsid w:val="007C3046"/>
    <w:rsid w:val="00802B55"/>
    <w:rsid w:val="00810E1C"/>
    <w:rsid w:val="00830EB2"/>
    <w:rsid w:val="00836424"/>
    <w:rsid w:val="00837B63"/>
    <w:rsid w:val="00850F78"/>
    <w:rsid w:val="00880181"/>
    <w:rsid w:val="0088258F"/>
    <w:rsid w:val="0089016C"/>
    <w:rsid w:val="00896264"/>
    <w:rsid w:val="008A1E05"/>
    <w:rsid w:val="008A33C0"/>
    <w:rsid w:val="008C0776"/>
    <w:rsid w:val="008C3F80"/>
    <w:rsid w:val="008E4055"/>
    <w:rsid w:val="0090117A"/>
    <w:rsid w:val="00921B63"/>
    <w:rsid w:val="0092753D"/>
    <w:rsid w:val="00931F08"/>
    <w:rsid w:val="009355D2"/>
    <w:rsid w:val="00965794"/>
    <w:rsid w:val="00965B5E"/>
    <w:rsid w:val="0098046E"/>
    <w:rsid w:val="00981BE8"/>
    <w:rsid w:val="00981D28"/>
    <w:rsid w:val="00983F17"/>
    <w:rsid w:val="009B2FA7"/>
    <w:rsid w:val="009C03F2"/>
    <w:rsid w:val="009D35B0"/>
    <w:rsid w:val="009D40D4"/>
    <w:rsid w:val="009D6A95"/>
    <w:rsid w:val="009E3CFE"/>
    <w:rsid w:val="009E4421"/>
    <w:rsid w:val="009F78A5"/>
    <w:rsid w:val="00A07BAC"/>
    <w:rsid w:val="00A110CD"/>
    <w:rsid w:val="00A111C5"/>
    <w:rsid w:val="00A11F22"/>
    <w:rsid w:val="00A23619"/>
    <w:rsid w:val="00A32062"/>
    <w:rsid w:val="00A41054"/>
    <w:rsid w:val="00A410A3"/>
    <w:rsid w:val="00A417CA"/>
    <w:rsid w:val="00A44259"/>
    <w:rsid w:val="00A5741C"/>
    <w:rsid w:val="00A773B9"/>
    <w:rsid w:val="00A96720"/>
    <w:rsid w:val="00AA0FAD"/>
    <w:rsid w:val="00AA4B7E"/>
    <w:rsid w:val="00AA5524"/>
    <w:rsid w:val="00AB2827"/>
    <w:rsid w:val="00AB338C"/>
    <w:rsid w:val="00AB6F81"/>
    <w:rsid w:val="00AC0317"/>
    <w:rsid w:val="00AC5B42"/>
    <w:rsid w:val="00AD2A5A"/>
    <w:rsid w:val="00AD3660"/>
    <w:rsid w:val="00AE06F8"/>
    <w:rsid w:val="00AE437C"/>
    <w:rsid w:val="00B00CE9"/>
    <w:rsid w:val="00B05C86"/>
    <w:rsid w:val="00B15A0C"/>
    <w:rsid w:val="00B45EF9"/>
    <w:rsid w:val="00B6027F"/>
    <w:rsid w:val="00B60E00"/>
    <w:rsid w:val="00B763AF"/>
    <w:rsid w:val="00B84DB0"/>
    <w:rsid w:val="00B9640D"/>
    <w:rsid w:val="00BA59DD"/>
    <w:rsid w:val="00BC4135"/>
    <w:rsid w:val="00BD298F"/>
    <w:rsid w:val="00BE297B"/>
    <w:rsid w:val="00BE3397"/>
    <w:rsid w:val="00BF5945"/>
    <w:rsid w:val="00C06485"/>
    <w:rsid w:val="00C06D57"/>
    <w:rsid w:val="00C4667E"/>
    <w:rsid w:val="00C4711D"/>
    <w:rsid w:val="00C63D54"/>
    <w:rsid w:val="00C72D9E"/>
    <w:rsid w:val="00C75519"/>
    <w:rsid w:val="00CA154C"/>
    <w:rsid w:val="00CB0C46"/>
    <w:rsid w:val="00CD481C"/>
    <w:rsid w:val="00CE1942"/>
    <w:rsid w:val="00D05A82"/>
    <w:rsid w:val="00D13933"/>
    <w:rsid w:val="00D14253"/>
    <w:rsid w:val="00D149B5"/>
    <w:rsid w:val="00D36D9C"/>
    <w:rsid w:val="00D527D3"/>
    <w:rsid w:val="00D622CD"/>
    <w:rsid w:val="00D62C07"/>
    <w:rsid w:val="00DA5836"/>
    <w:rsid w:val="00DC121F"/>
    <w:rsid w:val="00DC5CC1"/>
    <w:rsid w:val="00DE743C"/>
    <w:rsid w:val="00DF0F68"/>
    <w:rsid w:val="00DF18E3"/>
    <w:rsid w:val="00E20C7E"/>
    <w:rsid w:val="00E21C63"/>
    <w:rsid w:val="00E35016"/>
    <w:rsid w:val="00E404B2"/>
    <w:rsid w:val="00E466E0"/>
    <w:rsid w:val="00E61CC9"/>
    <w:rsid w:val="00E649D4"/>
    <w:rsid w:val="00E70F36"/>
    <w:rsid w:val="00EA0041"/>
    <w:rsid w:val="00EC65FF"/>
    <w:rsid w:val="00EF6A4B"/>
    <w:rsid w:val="00F03242"/>
    <w:rsid w:val="00F2125A"/>
    <w:rsid w:val="00F24B05"/>
    <w:rsid w:val="00F25B26"/>
    <w:rsid w:val="00F32815"/>
    <w:rsid w:val="00F356CE"/>
    <w:rsid w:val="00F375A9"/>
    <w:rsid w:val="00F5021E"/>
    <w:rsid w:val="00F64377"/>
    <w:rsid w:val="00F67781"/>
    <w:rsid w:val="00F8057B"/>
    <w:rsid w:val="00F94235"/>
    <w:rsid w:val="00FA0B39"/>
    <w:rsid w:val="00FA152E"/>
    <w:rsid w:val="00FA1E54"/>
    <w:rsid w:val="00FA53F5"/>
    <w:rsid w:val="00FA7CAB"/>
    <w:rsid w:val="00FB2118"/>
    <w:rsid w:val="00FB5C08"/>
    <w:rsid w:val="00FC6479"/>
    <w:rsid w:val="00FD679D"/>
    <w:rsid w:val="00FF7B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3491"/>
    <o:shapelayout v:ext="edit">
      <o:idmap v:ext="edit" data="1"/>
    </o:shapelayout>
  </w:shapeDefaults>
  <w:decimalSymbol w:val="."/>
  <w:listSeparator w:val=","/>
  <w15:docId w15:val="{D944ED13-F665-4636-9EAD-3931EEFE42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3B9"/>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48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048D3"/>
    <w:rPr>
      <w:sz w:val="24"/>
    </w:rPr>
  </w:style>
  <w:style w:type="paragraph" w:styleId="Footer">
    <w:name w:val="footer"/>
    <w:basedOn w:val="Normal"/>
    <w:link w:val="FooterChar"/>
    <w:uiPriority w:val="99"/>
    <w:unhideWhenUsed/>
    <w:rsid w:val="003048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048D3"/>
    <w:rPr>
      <w:sz w:val="24"/>
    </w:rPr>
  </w:style>
  <w:style w:type="paragraph" w:styleId="ListParagraph">
    <w:name w:val="List Paragraph"/>
    <w:basedOn w:val="Normal"/>
    <w:uiPriority w:val="34"/>
    <w:qFormat/>
    <w:rsid w:val="003E1E63"/>
    <w:pPr>
      <w:ind w:left="720"/>
      <w:contextualSpacing/>
    </w:pPr>
  </w:style>
  <w:style w:type="paragraph" w:styleId="BalloonText">
    <w:name w:val="Balloon Text"/>
    <w:basedOn w:val="Normal"/>
    <w:link w:val="BalloonTextChar"/>
    <w:uiPriority w:val="99"/>
    <w:semiHidden/>
    <w:unhideWhenUsed/>
    <w:rsid w:val="00661D6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1D62"/>
    <w:rPr>
      <w:rFonts w:ascii="Segoe UI" w:hAnsi="Segoe UI" w:cs="Segoe UI"/>
      <w:sz w:val="18"/>
      <w:szCs w:val="18"/>
    </w:rPr>
  </w:style>
  <w:style w:type="table" w:styleId="TableGrid">
    <w:name w:val="Table Grid"/>
    <w:basedOn w:val="TableNormal"/>
    <w:uiPriority w:val="39"/>
    <w:rsid w:val="00362EBB"/>
    <w:pPr>
      <w:spacing w:after="0" w:line="240" w:lineRule="auto"/>
    </w:pPr>
    <w:rPr>
      <w:rFonts w:ascii="Calibri" w:hAnsi="Calibri"/>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DefaultParagraphFont"/>
    <w:rsid w:val="00465775"/>
  </w:style>
  <w:style w:type="character" w:styleId="Hyperlink">
    <w:name w:val="Hyperlink"/>
    <w:basedOn w:val="DefaultParagraphFont"/>
    <w:uiPriority w:val="99"/>
    <w:unhideWhenUsed/>
    <w:rsid w:val="00880181"/>
    <w:rPr>
      <w:color w:val="0563C1" w:themeColor="hyperlink"/>
      <w:u w:val="single"/>
    </w:rPr>
  </w:style>
  <w:style w:type="paragraph" w:styleId="ListBullet">
    <w:name w:val="List Bullet"/>
    <w:basedOn w:val="Normal"/>
    <w:uiPriority w:val="99"/>
    <w:unhideWhenUsed/>
    <w:rsid w:val="00420E8F"/>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7887250">
      <w:bodyDiv w:val="1"/>
      <w:marLeft w:val="0"/>
      <w:marRight w:val="0"/>
      <w:marTop w:val="0"/>
      <w:marBottom w:val="0"/>
      <w:divBdr>
        <w:top w:val="none" w:sz="0" w:space="0" w:color="auto"/>
        <w:left w:val="none" w:sz="0" w:space="0" w:color="auto"/>
        <w:bottom w:val="none" w:sz="0" w:space="0" w:color="auto"/>
        <w:right w:val="none" w:sz="0" w:space="0" w:color="auto"/>
      </w:divBdr>
    </w:div>
    <w:div w:id="1723669637">
      <w:bodyDiv w:val="1"/>
      <w:marLeft w:val="0"/>
      <w:marRight w:val="0"/>
      <w:marTop w:val="0"/>
      <w:marBottom w:val="0"/>
      <w:divBdr>
        <w:top w:val="none" w:sz="0" w:space="0" w:color="auto"/>
        <w:left w:val="none" w:sz="0" w:space="0" w:color="auto"/>
        <w:bottom w:val="none" w:sz="0" w:space="0" w:color="auto"/>
        <w:right w:val="none" w:sz="0" w:space="0" w:color="auto"/>
      </w:divBdr>
      <w:divsChild>
        <w:div w:id="1090153375">
          <w:marLeft w:val="0"/>
          <w:marRight w:val="0"/>
          <w:marTop w:val="0"/>
          <w:marBottom w:val="0"/>
          <w:divBdr>
            <w:top w:val="none" w:sz="0" w:space="0" w:color="auto"/>
            <w:left w:val="none" w:sz="0" w:space="0" w:color="auto"/>
            <w:bottom w:val="none" w:sz="0" w:space="0" w:color="auto"/>
            <w:right w:val="none" w:sz="0" w:space="0" w:color="auto"/>
          </w:divBdr>
          <w:divsChild>
            <w:div w:id="2102027129">
              <w:marLeft w:val="0"/>
              <w:marRight w:val="0"/>
              <w:marTop w:val="0"/>
              <w:marBottom w:val="0"/>
              <w:divBdr>
                <w:top w:val="none" w:sz="0" w:space="0" w:color="auto"/>
                <w:left w:val="none" w:sz="0" w:space="0" w:color="auto"/>
                <w:bottom w:val="none" w:sz="0" w:space="0" w:color="auto"/>
                <w:right w:val="none" w:sz="0" w:space="0" w:color="auto"/>
              </w:divBdr>
              <w:divsChild>
                <w:div w:id="77509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sccmultco.com/wp-content/uploads/Nov-2019-Tax-Measure-Hearing-Review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_rels/header2.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234D99-8714-4780-BB8F-C97821B801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658</Words>
  <Characters>3754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gibonsc</dc:creator>
  <cp:lastModifiedBy>gibonsc</cp:lastModifiedBy>
  <cp:revision>2</cp:revision>
  <cp:lastPrinted>2019-10-01T22:22:00Z</cp:lastPrinted>
  <dcterms:created xsi:type="dcterms:W3CDTF">2019-12-02T17:07:00Z</dcterms:created>
  <dcterms:modified xsi:type="dcterms:W3CDTF">2019-12-02T17:07:00Z</dcterms:modified>
</cp:coreProperties>
</file>