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D3" w:rsidRDefault="00D527D3" w:rsidP="003C0AC9">
      <w:pPr>
        <w:rPr>
          <w:b/>
          <w:sz w:val="12"/>
        </w:rPr>
      </w:pPr>
    </w:p>
    <w:p w:rsidR="001041D9" w:rsidRPr="00D527D3" w:rsidRDefault="001041D9" w:rsidP="003C0AC9">
      <w:pPr>
        <w:rPr>
          <w:b/>
          <w:sz w:val="12"/>
        </w:rPr>
      </w:pPr>
    </w:p>
    <w:p w:rsidR="002C63D9" w:rsidRDefault="00DA5836" w:rsidP="002C63D9">
      <w:pPr>
        <w:spacing w:after="0" w:line="240" w:lineRule="auto"/>
        <w:rPr>
          <w:b/>
        </w:rPr>
      </w:pPr>
      <w:r>
        <w:rPr>
          <w:b/>
        </w:rPr>
        <w:t xml:space="preserve">TSCC </w:t>
      </w:r>
      <w:r w:rsidR="003050F4">
        <w:rPr>
          <w:b/>
        </w:rPr>
        <w:t xml:space="preserve">Meeting </w:t>
      </w:r>
      <w:r>
        <w:rPr>
          <w:b/>
        </w:rPr>
        <w:t>Minutes</w:t>
      </w:r>
      <w:r w:rsidR="004277F9">
        <w:rPr>
          <w:b/>
        </w:rPr>
        <w:t xml:space="preserve">   </w:t>
      </w:r>
      <w:bookmarkStart w:id="0" w:name="_GoBack"/>
      <w:bookmarkEnd w:id="0"/>
    </w:p>
    <w:p w:rsidR="002C63D9" w:rsidRDefault="006E6B8A" w:rsidP="002C63D9">
      <w:pPr>
        <w:spacing w:after="0" w:line="240" w:lineRule="auto"/>
        <w:rPr>
          <w:b/>
        </w:rPr>
      </w:pPr>
      <w:r>
        <w:rPr>
          <w:b/>
        </w:rPr>
        <w:t>September 11</w:t>
      </w:r>
      <w:r w:rsidR="002C63D9">
        <w:rPr>
          <w:b/>
        </w:rPr>
        <w:t>, 201</w:t>
      </w:r>
      <w:r w:rsidR="0072419F">
        <w:rPr>
          <w:b/>
        </w:rPr>
        <w:t>9</w:t>
      </w:r>
    </w:p>
    <w:p w:rsidR="002C63D9" w:rsidRDefault="002C63D9" w:rsidP="00DA5836">
      <w:pPr>
        <w:spacing w:after="0" w:line="240" w:lineRule="auto"/>
      </w:pPr>
      <w:r>
        <w:t>TSCC Offices, 808 SW 3</w:t>
      </w:r>
      <w:r w:rsidRPr="002C63D9">
        <w:rPr>
          <w:vertAlign w:val="superscript"/>
        </w:rPr>
        <w:t>rd</w:t>
      </w:r>
      <w:r>
        <w:t xml:space="preserve"> Ave, Suite 540, Portland Oregon</w:t>
      </w:r>
    </w:p>
    <w:p w:rsidR="00DA5836" w:rsidRPr="00DA5836" w:rsidRDefault="00DA5836" w:rsidP="00DA5836">
      <w:pPr>
        <w:spacing w:after="0" w:line="240" w:lineRule="auto"/>
      </w:pPr>
    </w:p>
    <w:p w:rsidR="00965794" w:rsidRPr="00AB2827" w:rsidRDefault="00965794" w:rsidP="009E4421">
      <w:r w:rsidRPr="00AB2827">
        <w:t>Commissi</w:t>
      </w:r>
      <w:r w:rsidR="00931F08">
        <w:t>oners Barringer, Norton, Ofsink</w:t>
      </w:r>
      <w:r w:rsidR="002C2431">
        <w:t xml:space="preserve"> and</w:t>
      </w:r>
      <w:r w:rsidR="00931F08">
        <w:t xml:space="preserve"> </w:t>
      </w:r>
      <w:r w:rsidR="00AE437C" w:rsidRPr="00AB2827">
        <w:t>Wubbold</w:t>
      </w:r>
      <w:r w:rsidRPr="00AB2827">
        <w:t xml:space="preserve"> were present as </w:t>
      </w:r>
      <w:r w:rsidR="006E6B8A">
        <w:t>were</w:t>
      </w:r>
      <w:r w:rsidRPr="00AB2827">
        <w:t xml:space="preserve"> Executive Director Gibons</w:t>
      </w:r>
      <w:r w:rsidR="00011237" w:rsidRPr="00AB2827">
        <w:t xml:space="preserve"> and Budget Analyst Tunie </w:t>
      </w:r>
      <w:r w:rsidR="00331513" w:rsidRPr="00AB2827">
        <w:t>Betschart.</w:t>
      </w:r>
    </w:p>
    <w:p w:rsidR="00AA0FAD" w:rsidRPr="00AB2827" w:rsidRDefault="00AA0FAD" w:rsidP="009E4421">
      <w:r w:rsidRPr="00AB2827">
        <w:t xml:space="preserve">Absent: </w:t>
      </w:r>
      <w:r w:rsidR="00931F08">
        <w:t>None</w:t>
      </w:r>
      <w:r w:rsidR="00AB6F81">
        <w:t xml:space="preserve"> (One position is waiting appointment by Governor)</w:t>
      </w:r>
    </w:p>
    <w:p w:rsidR="00965794" w:rsidRPr="00AB2827" w:rsidRDefault="00965794" w:rsidP="009E4421">
      <w:r w:rsidRPr="00AB2827">
        <w:t>Chair Barringer convened the</w:t>
      </w:r>
      <w:r w:rsidR="00810E1C" w:rsidRPr="00AB2827">
        <w:t xml:space="preserve"> TSCC Regular M</w:t>
      </w:r>
      <w:r w:rsidRPr="00AB2827">
        <w:t xml:space="preserve">eeting at </w:t>
      </w:r>
      <w:r w:rsidR="003F4E90" w:rsidRPr="00AB2827">
        <w:t>1</w:t>
      </w:r>
      <w:r w:rsidR="00931F08">
        <w:t>2</w:t>
      </w:r>
      <w:r w:rsidR="00AA0FAD" w:rsidRPr="00AB2827">
        <w:t>:</w:t>
      </w:r>
      <w:r w:rsidR="00931F08">
        <w:t>0</w:t>
      </w:r>
      <w:r w:rsidR="006E6B8A">
        <w:t>3</w:t>
      </w:r>
    </w:p>
    <w:p w:rsidR="00AA0FAD" w:rsidRDefault="00AA0FAD" w:rsidP="00471D8C">
      <w:pPr>
        <w:pStyle w:val="ListParagraph"/>
        <w:numPr>
          <w:ilvl w:val="0"/>
          <w:numId w:val="1"/>
        </w:numPr>
        <w:rPr>
          <w:color w:val="000000" w:themeColor="text1"/>
        </w:rPr>
      </w:pPr>
      <w:r w:rsidRPr="00AB2827">
        <w:rPr>
          <w:color w:val="000000" w:themeColor="text1"/>
        </w:rPr>
        <w:t xml:space="preserve">Chair Barringer </w:t>
      </w:r>
      <w:r w:rsidR="00931F08">
        <w:rPr>
          <w:color w:val="000000" w:themeColor="text1"/>
        </w:rPr>
        <w:t>reviewed</w:t>
      </w:r>
      <w:r w:rsidR="002C2431">
        <w:rPr>
          <w:color w:val="000000" w:themeColor="text1"/>
        </w:rPr>
        <w:t xml:space="preserve"> and approved</w:t>
      </w:r>
      <w:r w:rsidR="00931F08">
        <w:rPr>
          <w:color w:val="000000" w:themeColor="text1"/>
        </w:rPr>
        <w:t xml:space="preserve"> the minutes</w:t>
      </w:r>
      <w:r w:rsidR="00AB6F81">
        <w:rPr>
          <w:color w:val="000000" w:themeColor="text1"/>
        </w:rPr>
        <w:t xml:space="preserve"> </w:t>
      </w:r>
      <w:r w:rsidR="00931F08">
        <w:rPr>
          <w:color w:val="000000" w:themeColor="text1"/>
        </w:rPr>
        <w:t>for Ju</w:t>
      </w:r>
      <w:r w:rsidR="002C2431">
        <w:rPr>
          <w:color w:val="000000" w:themeColor="text1"/>
        </w:rPr>
        <w:t xml:space="preserve">ly </w:t>
      </w:r>
      <w:r w:rsidR="00931F08">
        <w:rPr>
          <w:color w:val="000000" w:themeColor="text1"/>
        </w:rPr>
        <w:t xml:space="preserve"> 1</w:t>
      </w:r>
      <w:r w:rsidR="002C2431">
        <w:rPr>
          <w:color w:val="000000" w:themeColor="text1"/>
        </w:rPr>
        <w:t>5</w:t>
      </w:r>
      <w:r w:rsidR="00931F08">
        <w:rPr>
          <w:color w:val="000000" w:themeColor="text1"/>
        </w:rPr>
        <w:t xml:space="preserve">, 2019 </w:t>
      </w:r>
      <w:r w:rsidR="006E6B8A">
        <w:rPr>
          <w:color w:val="000000" w:themeColor="text1"/>
        </w:rPr>
        <w:t xml:space="preserve">(with two edits) </w:t>
      </w:r>
      <w:r w:rsidR="00931F08">
        <w:rPr>
          <w:color w:val="000000" w:themeColor="text1"/>
        </w:rPr>
        <w:t>Regular Meeting</w:t>
      </w:r>
    </w:p>
    <w:p w:rsidR="006E6B8A" w:rsidRDefault="006E6B8A" w:rsidP="00471D8C">
      <w:pPr>
        <w:pStyle w:val="ListParagraph"/>
        <w:numPr>
          <w:ilvl w:val="0"/>
          <w:numId w:val="1"/>
        </w:numPr>
        <w:rPr>
          <w:color w:val="000000" w:themeColor="text1"/>
        </w:rPr>
      </w:pPr>
      <w:r>
        <w:rPr>
          <w:color w:val="000000" w:themeColor="text1"/>
        </w:rPr>
        <w:t>Election of Officer</w:t>
      </w:r>
      <w:r w:rsidR="000F5FFE">
        <w:rPr>
          <w:color w:val="000000" w:themeColor="text1"/>
        </w:rPr>
        <w:t>s</w:t>
      </w:r>
    </w:p>
    <w:p w:rsidR="006E6B8A" w:rsidRDefault="006E6B8A" w:rsidP="006E6B8A">
      <w:pPr>
        <w:pStyle w:val="ListParagraph"/>
        <w:numPr>
          <w:ilvl w:val="1"/>
          <w:numId w:val="1"/>
        </w:numPr>
        <w:rPr>
          <w:color w:val="000000" w:themeColor="text1"/>
        </w:rPr>
      </w:pPr>
      <w:r>
        <w:rPr>
          <w:color w:val="000000" w:themeColor="text1"/>
        </w:rPr>
        <w:t xml:space="preserve">Commissioner Norton Nominated the commissioners currently serving as officers to fill the position for another year (David Barringer President; and James Ofsink Vice President) </w:t>
      </w:r>
    </w:p>
    <w:p w:rsidR="006E6B8A" w:rsidRPr="00AB2827" w:rsidRDefault="006E6B8A" w:rsidP="006E6B8A">
      <w:pPr>
        <w:pStyle w:val="ListParagraph"/>
        <w:numPr>
          <w:ilvl w:val="1"/>
          <w:numId w:val="1"/>
        </w:numPr>
        <w:rPr>
          <w:color w:val="000000" w:themeColor="text1"/>
        </w:rPr>
      </w:pPr>
      <w:r>
        <w:rPr>
          <w:color w:val="000000" w:themeColor="text1"/>
        </w:rPr>
        <w:t>The nomination was seconded by Commissioner Wubbold and carried with a unanimous vote.</w:t>
      </w:r>
    </w:p>
    <w:p w:rsidR="00AA0FAD" w:rsidRDefault="00931F08" w:rsidP="00880453">
      <w:pPr>
        <w:pStyle w:val="ListParagraph"/>
        <w:numPr>
          <w:ilvl w:val="0"/>
          <w:numId w:val="1"/>
        </w:numPr>
        <w:rPr>
          <w:color w:val="000000" w:themeColor="text1"/>
        </w:rPr>
      </w:pPr>
      <w:r>
        <w:rPr>
          <w:color w:val="000000" w:themeColor="text1"/>
        </w:rPr>
        <w:t>Craig Gibons review the TSCC</w:t>
      </w:r>
      <w:r w:rsidR="00AA0FAD" w:rsidRPr="00AB2827">
        <w:rPr>
          <w:color w:val="000000" w:themeColor="text1"/>
        </w:rPr>
        <w:t xml:space="preserve"> </w:t>
      </w:r>
      <w:r w:rsidR="00981BE8">
        <w:rPr>
          <w:color w:val="000000" w:themeColor="text1"/>
        </w:rPr>
        <w:t>FY19 Budget. (See attached)</w:t>
      </w:r>
    </w:p>
    <w:p w:rsidR="00A110CD" w:rsidRDefault="00A110CD" w:rsidP="00A110CD">
      <w:pPr>
        <w:pStyle w:val="ListParagraph"/>
        <w:numPr>
          <w:ilvl w:val="1"/>
          <w:numId w:val="1"/>
        </w:numPr>
        <w:rPr>
          <w:color w:val="000000" w:themeColor="text1"/>
        </w:rPr>
      </w:pPr>
      <w:r>
        <w:rPr>
          <w:color w:val="000000" w:themeColor="text1"/>
        </w:rPr>
        <w:t xml:space="preserve">Mr. Gibons briefly explained the FY19 actual expenses with the increase for office space </w:t>
      </w:r>
      <w:r w:rsidR="000F5FFE">
        <w:rPr>
          <w:color w:val="000000" w:themeColor="text1"/>
        </w:rPr>
        <w:t xml:space="preserve">and the CAFFA grant offset </w:t>
      </w:r>
      <w:r>
        <w:rPr>
          <w:color w:val="000000" w:themeColor="text1"/>
        </w:rPr>
        <w:t>produces a</w:t>
      </w:r>
      <w:r w:rsidR="000F5FFE">
        <w:rPr>
          <w:color w:val="000000" w:themeColor="text1"/>
        </w:rPr>
        <w:t xml:space="preserve"> </w:t>
      </w:r>
      <w:r>
        <w:rPr>
          <w:color w:val="000000" w:themeColor="text1"/>
        </w:rPr>
        <w:t>n</w:t>
      </w:r>
      <w:r w:rsidR="000F5FFE">
        <w:rPr>
          <w:color w:val="000000" w:themeColor="text1"/>
        </w:rPr>
        <w:t>et</w:t>
      </w:r>
      <w:r>
        <w:rPr>
          <w:color w:val="000000" w:themeColor="text1"/>
        </w:rPr>
        <w:t xml:space="preserve"> operating expense to the County of $309,635 for TSCC of which the Multnomah County pays 50%. The balance is allocated to the member districts.</w:t>
      </w:r>
    </w:p>
    <w:p w:rsidR="006E6B8A" w:rsidRDefault="006E6B8A" w:rsidP="00A110CD">
      <w:pPr>
        <w:pStyle w:val="ListParagraph"/>
        <w:numPr>
          <w:ilvl w:val="1"/>
          <w:numId w:val="1"/>
        </w:numPr>
        <w:rPr>
          <w:color w:val="000000" w:themeColor="text1"/>
        </w:rPr>
      </w:pPr>
      <w:r w:rsidRPr="006E6B8A">
        <w:rPr>
          <w:color w:val="000000" w:themeColor="text1"/>
        </w:rPr>
        <w:t xml:space="preserve">Mr. Gibons explained the </w:t>
      </w:r>
      <w:r w:rsidR="00E466E0">
        <w:rPr>
          <w:color w:val="000000" w:themeColor="text1"/>
        </w:rPr>
        <w:t>TSCC FY 20 c</w:t>
      </w:r>
      <w:r w:rsidRPr="006E6B8A">
        <w:rPr>
          <w:color w:val="000000" w:themeColor="text1"/>
        </w:rPr>
        <w:t xml:space="preserve">ost </w:t>
      </w:r>
      <w:r w:rsidR="00E466E0">
        <w:rPr>
          <w:color w:val="000000" w:themeColor="text1"/>
        </w:rPr>
        <w:t>a</w:t>
      </w:r>
      <w:r w:rsidRPr="006E6B8A">
        <w:rPr>
          <w:color w:val="000000" w:themeColor="text1"/>
        </w:rPr>
        <w:t xml:space="preserve">llocation </w:t>
      </w:r>
      <w:r w:rsidR="00E466E0">
        <w:rPr>
          <w:color w:val="000000" w:themeColor="text1"/>
        </w:rPr>
        <w:t xml:space="preserve">distribution </w:t>
      </w:r>
      <w:r w:rsidRPr="006E6B8A">
        <w:rPr>
          <w:color w:val="000000" w:themeColor="text1"/>
        </w:rPr>
        <w:t xml:space="preserve">for TSCC Member districts </w:t>
      </w:r>
      <w:r w:rsidR="00E466E0">
        <w:rPr>
          <w:color w:val="000000" w:themeColor="text1"/>
        </w:rPr>
        <w:t>in</w:t>
      </w:r>
      <w:r w:rsidRPr="006E6B8A">
        <w:rPr>
          <w:color w:val="000000" w:themeColor="text1"/>
        </w:rPr>
        <w:t xml:space="preserve"> great detail.  </w:t>
      </w:r>
      <w:r w:rsidR="00A110CD">
        <w:rPr>
          <w:color w:val="000000" w:themeColor="text1"/>
        </w:rPr>
        <w:t>He clarified that the cost is contingent on the net expenses of each district’s budget</w:t>
      </w:r>
      <w:r w:rsidR="00BD298F">
        <w:rPr>
          <w:color w:val="000000" w:themeColor="text1"/>
        </w:rPr>
        <w:t xml:space="preserve"> and also the amount of property taxes imposed</w:t>
      </w:r>
      <w:r w:rsidR="00A110CD">
        <w:rPr>
          <w:color w:val="000000" w:themeColor="text1"/>
        </w:rPr>
        <w:t xml:space="preserve">. </w:t>
      </w:r>
      <w:r w:rsidR="00BD298F">
        <w:rPr>
          <w:color w:val="000000" w:themeColor="text1"/>
        </w:rPr>
        <w:t>In addition to this formula, there is a minimum charge of $250 for districts to continue as members if their net expenditures a</w:t>
      </w:r>
      <w:r w:rsidR="000F5FFE">
        <w:rPr>
          <w:color w:val="000000" w:themeColor="text1"/>
        </w:rPr>
        <w:t>re below a certain threshold. If</w:t>
      </w:r>
      <w:r w:rsidR="00BD298F">
        <w:rPr>
          <w:color w:val="000000" w:themeColor="text1"/>
        </w:rPr>
        <w:t xml:space="preserve"> they levy property taxes another $250 is imposed as a portion of their allocation.  This is why some districts pay only $250 (they do not levy a property tax) and some pay $500 (they are below the minimum threshold and levy a property tax). </w:t>
      </w:r>
      <w:r w:rsidRPr="006E6B8A">
        <w:rPr>
          <w:color w:val="000000" w:themeColor="text1"/>
        </w:rPr>
        <w:t xml:space="preserve">He </w:t>
      </w:r>
      <w:r w:rsidR="00A110CD">
        <w:rPr>
          <w:color w:val="000000" w:themeColor="text1"/>
        </w:rPr>
        <w:t xml:space="preserve">added </w:t>
      </w:r>
      <w:r w:rsidRPr="006E6B8A">
        <w:rPr>
          <w:color w:val="000000" w:themeColor="text1"/>
        </w:rPr>
        <w:t xml:space="preserve">that the formula </w:t>
      </w:r>
      <w:r w:rsidR="00A110CD">
        <w:rPr>
          <w:color w:val="000000" w:themeColor="text1"/>
        </w:rPr>
        <w:t>wa</w:t>
      </w:r>
      <w:r w:rsidRPr="006E6B8A">
        <w:rPr>
          <w:color w:val="000000" w:themeColor="text1"/>
        </w:rPr>
        <w:t>s inclu</w:t>
      </w:r>
      <w:r>
        <w:rPr>
          <w:color w:val="000000" w:themeColor="text1"/>
        </w:rPr>
        <w:t>ded in the legislative language</w:t>
      </w:r>
      <w:r w:rsidR="00A110CD">
        <w:rPr>
          <w:color w:val="000000" w:themeColor="text1"/>
        </w:rPr>
        <w:t xml:space="preserve"> w</w:t>
      </w:r>
      <w:r>
        <w:rPr>
          <w:color w:val="000000" w:themeColor="text1"/>
        </w:rPr>
        <w:t xml:space="preserve">hen the statutes were revised. </w:t>
      </w:r>
    </w:p>
    <w:p w:rsidR="00BD298F" w:rsidRPr="006E6B8A" w:rsidRDefault="00BD298F" w:rsidP="00A110CD">
      <w:pPr>
        <w:pStyle w:val="ListParagraph"/>
        <w:numPr>
          <w:ilvl w:val="1"/>
          <w:numId w:val="1"/>
        </w:numPr>
        <w:rPr>
          <w:color w:val="000000" w:themeColor="text1"/>
        </w:rPr>
      </w:pPr>
      <w:r>
        <w:rPr>
          <w:color w:val="000000" w:themeColor="text1"/>
        </w:rPr>
        <w:t xml:space="preserve">The advantage of not having a citizen budget committee </w:t>
      </w:r>
      <w:r w:rsidR="0089016C">
        <w:rPr>
          <w:color w:val="000000" w:themeColor="text1"/>
        </w:rPr>
        <w:t xml:space="preserve">for larger districts was discussed. Since larger districts do not have a budget committee that includes citizens members, TSCC serves as a citizen oversite committee. </w:t>
      </w:r>
    </w:p>
    <w:p w:rsidR="006E6B8A" w:rsidRDefault="006E6B8A" w:rsidP="00880453">
      <w:pPr>
        <w:pStyle w:val="ListParagraph"/>
        <w:numPr>
          <w:ilvl w:val="0"/>
          <w:numId w:val="1"/>
        </w:numPr>
        <w:rPr>
          <w:color w:val="000000" w:themeColor="text1"/>
        </w:rPr>
      </w:pPr>
      <w:r>
        <w:rPr>
          <w:color w:val="000000" w:themeColor="text1"/>
        </w:rPr>
        <w:t xml:space="preserve">Commissioner Recruitment was discussed. </w:t>
      </w:r>
    </w:p>
    <w:p w:rsidR="00E466E0" w:rsidRDefault="006E6B8A" w:rsidP="001D3384">
      <w:pPr>
        <w:pStyle w:val="ListParagraph"/>
        <w:numPr>
          <w:ilvl w:val="1"/>
          <w:numId w:val="1"/>
        </w:numPr>
        <w:rPr>
          <w:color w:val="000000" w:themeColor="text1"/>
        </w:rPr>
      </w:pPr>
      <w:r>
        <w:rPr>
          <w:color w:val="000000" w:themeColor="text1"/>
        </w:rPr>
        <w:lastRenderedPageBreak/>
        <w:t>Thomas Lan</w:t>
      </w:r>
      <w:r w:rsidR="000F5FFE">
        <w:rPr>
          <w:color w:val="000000" w:themeColor="text1"/>
        </w:rPr>
        <w:t>no</w:t>
      </w:r>
      <w:r>
        <w:rPr>
          <w:color w:val="000000" w:themeColor="text1"/>
        </w:rPr>
        <w:t>m from the City of Portland has expressed interest</w:t>
      </w:r>
      <w:r w:rsidR="002C2431">
        <w:rPr>
          <w:color w:val="000000" w:themeColor="text1"/>
        </w:rPr>
        <w:t xml:space="preserve"> </w:t>
      </w:r>
      <w:r w:rsidR="00E466E0">
        <w:rPr>
          <w:color w:val="000000" w:themeColor="text1"/>
        </w:rPr>
        <w:t xml:space="preserve">in TSCC’s open position on the Commission. Commissioner Norton will contact him and encourage him to apply to the Governor’s office for the position. </w:t>
      </w:r>
    </w:p>
    <w:p w:rsidR="0089016C" w:rsidRDefault="001D3384" w:rsidP="001D3384">
      <w:pPr>
        <w:pStyle w:val="ListParagraph"/>
        <w:numPr>
          <w:ilvl w:val="1"/>
          <w:numId w:val="1"/>
        </w:numPr>
        <w:rPr>
          <w:color w:val="000000" w:themeColor="text1"/>
        </w:rPr>
      </w:pPr>
      <w:r>
        <w:rPr>
          <w:color w:val="000000" w:themeColor="text1"/>
        </w:rPr>
        <w:t xml:space="preserve">Mr. Gibons has </w:t>
      </w:r>
      <w:r w:rsidR="0089016C">
        <w:rPr>
          <w:color w:val="000000" w:themeColor="text1"/>
        </w:rPr>
        <w:t>sent emails to various financial directors asking them to pass the information about the opening on the commission to their budget committees</w:t>
      </w:r>
    </w:p>
    <w:p w:rsidR="001D3384" w:rsidRDefault="0089016C" w:rsidP="001D3384">
      <w:pPr>
        <w:pStyle w:val="ListParagraph"/>
        <w:numPr>
          <w:ilvl w:val="1"/>
          <w:numId w:val="1"/>
        </w:numPr>
        <w:rPr>
          <w:color w:val="000000" w:themeColor="text1"/>
        </w:rPr>
      </w:pPr>
      <w:r>
        <w:rPr>
          <w:color w:val="000000" w:themeColor="text1"/>
        </w:rPr>
        <w:t xml:space="preserve">The term opening is for the completion of Brendan </w:t>
      </w:r>
      <w:r w:rsidR="007B3471">
        <w:rPr>
          <w:color w:val="000000" w:themeColor="text1"/>
        </w:rPr>
        <w:t>Watkins term plus 2-four year terms so that would be 9+ years</w:t>
      </w:r>
      <w:r>
        <w:rPr>
          <w:color w:val="000000" w:themeColor="text1"/>
        </w:rPr>
        <w:t xml:space="preserve">. </w:t>
      </w:r>
    </w:p>
    <w:p w:rsidR="00B45EF9" w:rsidRPr="00A32062" w:rsidRDefault="007B3471" w:rsidP="007B3471">
      <w:pPr>
        <w:pStyle w:val="ListParagraph"/>
        <w:numPr>
          <w:ilvl w:val="0"/>
          <w:numId w:val="1"/>
        </w:numPr>
        <w:spacing w:after="0" w:line="240" w:lineRule="auto"/>
      </w:pPr>
      <w:r w:rsidRPr="007B3471">
        <w:rPr>
          <w:color w:val="000000" w:themeColor="text1"/>
        </w:rPr>
        <w:t>Executive Directo</w:t>
      </w:r>
      <w:r w:rsidR="00B45EF9" w:rsidRPr="007B3471">
        <w:rPr>
          <w:color w:val="000000" w:themeColor="text1"/>
        </w:rPr>
        <w:t xml:space="preserve">r Recruitment </w:t>
      </w:r>
    </w:p>
    <w:p w:rsidR="007B3471" w:rsidRPr="007B3471" w:rsidRDefault="007B3471" w:rsidP="00176548">
      <w:pPr>
        <w:pStyle w:val="ListParagraph"/>
        <w:numPr>
          <w:ilvl w:val="1"/>
          <w:numId w:val="1"/>
        </w:numPr>
        <w:spacing w:after="0" w:line="240" w:lineRule="auto"/>
      </w:pPr>
      <w:r>
        <w:rPr>
          <w:color w:val="000000" w:themeColor="text1"/>
        </w:rPr>
        <w:t xml:space="preserve">Mr. Gibons said there has been no progress to report. We are still on the same schedule. No action needed until December. </w:t>
      </w:r>
    </w:p>
    <w:p w:rsidR="007B3471" w:rsidRDefault="007B3471" w:rsidP="007B3471">
      <w:pPr>
        <w:pStyle w:val="ListParagraph"/>
        <w:numPr>
          <w:ilvl w:val="0"/>
          <w:numId w:val="1"/>
        </w:numPr>
        <w:spacing w:after="0" w:line="240" w:lineRule="auto"/>
      </w:pPr>
      <w:r>
        <w:t xml:space="preserve">Tax Measure Hearings needing to be held this fall were discussed. </w:t>
      </w:r>
    </w:p>
    <w:p w:rsidR="007B3471" w:rsidRDefault="007B3471" w:rsidP="00057B7B">
      <w:pPr>
        <w:pStyle w:val="ListParagraph"/>
        <w:numPr>
          <w:ilvl w:val="1"/>
          <w:numId w:val="1"/>
        </w:numPr>
        <w:spacing w:after="0" w:line="240" w:lineRule="auto"/>
      </w:pPr>
      <w:r>
        <w:t>Metro</w:t>
      </w:r>
      <w:r w:rsidR="00057B7B">
        <w:t xml:space="preserve"> Bond Hearing will be held at Metro Headquarters on Thursday, October 17, 2019 at 12:30</w:t>
      </w:r>
      <w:r>
        <w:t xml:space="preserve">  </w:t>
      </w:r>
    </w:p>
    <w:p w:rsidR="00057B7B" w:rsidRDefault="00057B7B" w:rsidP="00057B7B">
      <w:pPr>
        <w:pStyle w:val="ListParagraph"/>
        <w:numPr>
          <w:ilvl w:val="1"/>
          <w:numId w:val="1"/>
        </w:numPr>
        <w:spacing w:after="0" w:line="240" w:lineRule="auto"/>
      </w:pPr>
      <w:r>
        <w:t>Portland Public Schools Local Option Levy hearing will be held at the Blanchard Education Center on Tuesday October 15, at 5:00 p.m.</w:t>
      </w:r>
    </w:p>
    <w:p w:rsidR="00057B7B" w:rsidRDefault="00057B7B" w:rsidP="00057B7B">
      <w:pPr>
        <w:pStyle w:val="ListParagraph"/>
        <w:numPr>
          <w:ilvl w:val="1"/>
          <w:numId w:val="1"/>
        </w:numPr>
        <w:spacing w:after="0" w:line="240" w:lineRule="auto"/>
      </w:pPr>
      <w:r>
        <w:t xml:space="preserve">Sauvie Island Local Option Levy hearing is yet to be determined. There was discussion about hosting the hearing at TSCC office. Mr. Gibons will be in contact with Chief Collins to determine the date, time and place. </w:t>
      </w:r>
      <w:r w:rsidR="00FD679D">
        <w:t xml:space="preserve">There was a suggestion to communicate to Chief Collins the importance of at least one board member attending the hearing especially since he will be leaving the district soon. </w:t>
      </w:r>
    </w:p>
    <w:p w:rsidR="00FD679D" w:rsidRDefault="00FD679D" w:rsidP="00057B7B">
      <w:pPr>
        <w:pStyle w:val="ListParagraph"/>
        <w:numPr>
          <w:ilvl w:val="1"/>
          <w:numId w:val="1"/>
        </w:numPr>
        <w:spacing w:after="0" w:line="240" w:lineRule="auto"/>
      </w:pPr>
      <w:r>
        <w:t xml:space="preserve">A suggestion was made to end the Tax Levy Hearing with a statement that says something similar to “we are a neutral body in this matter and are conducting this hearing on behalf of the public because it will be decided by the voters we will take not formal action at this hearing.”  </w:t>
      </w:r>
    </w:p>
    <w:p w:rsidR="00FD679D" w:rsidRDefault="00FD679D" w:rsidP="00057B7B">
      <w:pPr>
        <w:pStyle w:val="ListParagraph"/>
        <w:numPr>
          <w:ilvl w:val="1"/>
          <w:numId w:val="1"/>
        </w:numPr>
        <w:spacing w:after="0" w:line="240" w:lineRule="auto"/>
      </w:pPr>
      <w:r>
        <w:t xml:space="preserve">A suggestion was made to send any questions Commissioners may want to ask at the hearing to Craig in order to </w:t>
      </w:r>
      <w:r w:rsidR="005E6717">
        <w:t>expedite</w:t>
      </w:r>
      <w:r>
        <w:t xml:space="preserve"> the </w:t>
      </w:r>
      <w:r w:rsidR="005E6717">
        <w:t xml:space="preserve">process of compiling the </w:t>
      </w:r>
      <w:r>
        <w:t>question</w:t>
      </w:r>
      <w:r w:rsidR="005E6717">
        <w:t xml:space="preserve">s. </w:t>
      </w:r>
    </w:p>
    <w:p w:rsidR="005E6717" w:rsidRDefault="00D36D9C" w:rsidP="00AE06F8">
      <w:pPr>
        <w:pStyle w:val="ListParagraph"/>
        <w:numPr>
          <w:ilvl w:val="0"/>
          <w:numId w:val="1"/>
        </w:numPr>
        <w:spacing w:after="0" w:line="240" w:lineRule="auto"/>
      </w:pPr>
      <w:r>
        <w:t>100 Year acknowledgement celebration</w:t>
      </w:r>
      <w:r w:rsidR="005E6717">
        <w:t xml:space="preserve"> was discussed </w:t>
      </w:r>
    </w:p>
    <w:p w:rsidR="005E6717" w:rsidRDefault="000A6BA0" w:rsidP="005E6717">
      <w:pPr>
        <w:pStyle w:val="ListParagraph"/>
        <w:numPr>
          <w:ilvl w:val="1"/>
          <w:numId w:val="1"/>
        </w:numPr>
        <w:spacing w:after="0" w:line="240" w:lineRule="auto"/>
      </w:pPr>
      <w:r>
        <w:t>Ideas</w:t>
      </w:r>
      <w:r w:rsidR="005E6717">
        <w:t xml:space="preserve"> were:</w:t>
      </w:r>
      <w:r w:rsidR="00D36D9C">
        <w:t xml:space="preserve"> </w:t>
      </w:r>
    </w:p>
    <w:p w:rsidR="005E6717" w:rsidRDefault="005E6717" w:rsidP="005E6717">
      <w:pPr>
        <w:pStyle w:val="ListParagraph"/>
        <w:numPr>
          <w:ilvl w:val="3"/>
          <w:numId w:val="1"/>
        </w:numPr>
        <w:spacing w:after="0" w:line="240" w:lineRule="auto"/>
      </w:pPr>
      <w:r>
        <w:t xml:space="preserve">Invite all previous Commissioners to a “meet and greet” reception which could include </w:t>
      </w:r>
    </w:p>
    <w:p w:rsidR="00AA4B7E" w:rsidRDefault="00AA4B7E" w:rsidP="005E6717">
      <w:pPr>
        <w:pStyle w:val="ListParagraph"/>
        <w:numPr>
          <w:ilvl w:val="3"/>
          <w:numId w:val="1"/>
        </w:numPr>
        <w:spacing w:after="0" w:line="240" w:lineRule="auto"/>
      </w:pPr>
      <w:r>
        <w:t xml:space="preserve">Attempt to get media coverage </w:t>
      </w:r>
    </w:p>
    <w:p w:rsidR="005E6717" w:rsidRDefault="005E6717" w:rsidP="005E6717">
      <w:pPr>
        <w:pStyle w:val="ListParagraph"/>
        <w:numPr>
          <w:ilvl w:val="3"/>
          <w:numId w:val="1"/>
        </w:numPr>
        <w:spacing w:after="0" w:line="240" w:lineRule="auto"/>
      </w:pPr>
      <w:r>
        <w:t xml:space="preserve">Create or partner with a member jurisdiction on some </w:t>
      </w:r>
      <w:r w:rsidR="00AA4B7E">
        <w:t>c</w:t>
      </w:r>
      <w:r>
        <w:t xml:space="preserve">ivic volunteer </w:t>
      </w:r>
      <w:r w:rsidR="00AA4B7E">
        <w:t xml:space="preserve">service </w:t>
      </w:r>
      <w:r>
        <w:t>activity that benefits the community, such as</w:t>
      </w:r>
      <w:r w:rsidR="00AA4B7E">
        <w:t xml:space="preserve"> check in books at the library, help at a shelter,  </w:t>
      </w:r>
      <w:r>
        <w:t>parks cleanup, to do so</w:t>
      </w:r>
    </w:p>
    <w:p w:rsidR="00AA4B7E" w:rsidRDefault="00AA4B7E" w:rsidP="005E6717">
      <w:pPr>
        <w:pStyle w:val="ListParagraph"/>
        <w:numPr>
          <w:ilvl w:val="3"/>
          <w:numId w:val="1"/>
        </w:numPr>
        <w:spacing w:after="0" w:line="240" w:lineRule="auto"/>
      </w:pPr>
      <w:r>
        <w:t>Change the mission statement to make it reflect TSCC values and include the 100 year logo</w:t>
      </w:r>
    </w:p>
    <w:p w:rsidR="00AA4B7E" w:rsidRDefault="00AA4B7E" w:rsidP="005E6717">
      <w:pPr>
        <w:pStyle w:val="ListParagraph"/>
        <w:numPr>
          <w:ilvl w:val="3"/>
          <w:numId w:val="1"/>
        </w:numPr>
        <w:spacing w:after="0" w:line="240" w:lineRule="auto"/>
      </w:pPr>
      <w:r>
        <w:t>Create new “branding”</w:t>
      </w:r>
    </w:p>
    <w:p w:rsidR="0005243E" w:rsidRDefault="000A6BA0" w:rsidP="005E6717">
      <w:pPr>
        <w:pStyle w:val="ListParagraph"/>
        <w:numPr>
          <w:ilvl w:val="3"/>
          <w:numId w:val="1"/>
        </w:numPr>
        <w:spacing w:after="0" w:line="240" w:lineRule="auto"/>
      </w:pPr>
      <w:r>
        <w:t>H</w:t>
      </w:r>
      <w:r w:rsidR="0005243E">
        <w:t xml:space="preserve">olding two events </w:t>
      </w:r>
    </w:p>
    <w:p w:rsidR="0005243E" w:rsidRDefault="0005243E" w:rsidP="0005243E">
      <w:pPr>
        <w:pStyle w:val="ListParagraph"/>
        <w:spacing w:after="0" w:line="240" w:lineRule="auto"/>
        <w:ind w:left="2880"/>
      </w:pPr>
      <w:r>
        <w:t xml:space="preserve">One) </w:t>
      </w:r>
      <w:r w:rsidR="00AA4B7E">
        <w:t xml:space="preserve">a volunteer service activity </w:t>
      </w:r>
    </w:p>
    <w:p w:rsidR="00AA4B7E" w:rsidRDefault="0005243E" w:rsidP="0005243E">
      <w:pPr>
        <w:pStyle w:val="ListParagraph"/>
        <w:spacing w:after="0" w:line="240" w:lineRule="auto"/>
        <w:ind w:left="2880"/>
      </w:pPr>
      <w:r>
        <w:t xml:space="preserve">Two) </w:t>
      </w:r>
      <w:r w:rsidR="00AA4B7E">
        <w:t xml:space="preserve">a meet and greet </w:t>
      </w:r>
      <w:r>
        <w:t xml:space="preserve">for the public and members of  jurisdictions </w:t>
      </w:r>
      <w:r w:rsidR="00AA4B7E">
        <w:t>(</w:t>
      </w:r>
      <w:r>
        <w:t>also</w:t>
      </w:r>
      <w:r w:rsidR="00AA4B7E">
        <w:t xml:space="preserve"> invite the Governor or someone from the Governor’s office as well as previous commissioners</w:t>
      </w:r>
      <w:r>
        <w:t xml:space="preserve"> and previous </w:t>
      </w:r>
      <w:r>
        <w:lastRenderedPageBreak/>
        <w:t>employees</w:t>
      </w:r>
      <w:r w:rsidR="00AA4B7E">
        <w:t>) and ask for speakers to talk about TSCC</w:t>
      </w:r>
      <w:r>
        <w:t xml:space="preserve"> and explain to the general public what TSCC’s role is in the community, maybe i</w:t>
      </w:r>
      <w:r w:rsidR="00AA4B7E">
        <w:t xml:space="preserve">ncluding the History of TSCC. </w:t>
      </w:r>
    </w:p>
    <w:p w:rsidR="005B3A91" w:rsidRDefault="000A6BA0" w:rsidP="005E6717">
      <w:pPr>
        <w:pStyle w:val="ListParagraph"/>
        <w:numPr>
          <w:ilvl w:val="3"/>
          <w:numId w:val="1"/>
        </w:numPr>
        <w:spacing w:after="0" w:line="240" w:lineRule="auto"/>
      </w:pPr>
      <w:r>
        <w:t>W</w:t>
      </w:r>
      <w:r w:rsidR="0005243E">
        <w:t>rite an Op-</w:t>
      </w:r>
      <w:r w:rsidR="005B3A91">
        <w:t>E</w:t>
      </w:r>
      <w:r w:rsidR="0005243E">
        <w:t xml:space="preserve">d for the </w:t>
      </w:r>
      <w:r w:rsidR="005B3A91">
        <w:t xml:space="preserve">Oregonian and do a blurb on the website. </w:t>
      </w:r>
    </w:p>
    <w:p w:rsidR="005B3A91" w:rsidRDefault="000A6BA0" w:rsidP="005E6717">
      <w:pPr>
        <w:pStyle w:val="ListParagraph"/>
        <w:numPr>
          <w:ilvl w:val="3"/>
          <w:numId w:val="1"/>
        </w:numPr>
        <w:spacing w:after="0" w:line="240" w:lineRule="auto"/>
      </w:pPr>
      <w:r>
        <w:t>R</w:t>
      </w:r>
      <w:r w:rsidR="005B3A91">
        <w:t xml:space="preserve">equest a Legislative Resolution or </w:t>
      </w:r>
      <w:r>
        <w:t>F</w:t>
      </w:r>
      <w:r w:rsidR="005B3A91">
        <w:t xml:space="preserve">loor </w:t>
      </w:r>
      <w:r>
        <w:t>C</w:t>
      </w:r>
      <w:r w:rsidR="005B3A91">
        <w:t xml:space="preserve">ourtesy on C-Span. </w:t>
      </w:r>
    </w:p>
    <w:p w:rsidR="005B3A91" w:rsidRDefault="005B3A91" w:rsidP="005E6717">
      <w:pPr>
        <w:pStyle w:val="ListParagraph"/>
        <w:numPr>
          <w:ilvl w:val="3"/>
          <w:numId w:val="1"/>
        </w:numPr>
        <w:spacing w:after="0" w:line="240" w:lineRule="auto"/>
      </w:pPr>
      <w:r>
        <w:t>Dinner or Meet and Greet for previous commissioners</w:t>
      </w:r>
    </w:p>
    <w:p w:rsidR="005B3A91" w:rsidRDefault="005B3A91" w:rsidP="005E6717">
      <w:pPr>
        <w:pStyle w:val="ListParagraph"/>
        <w:numPr>
          <w:ilvl w:val="3"/>
          <w:numId w:val="1"/>
        </w:numPr>
        <w:spacing w:after="0" w:line="240" w:lineRule="auto"/>
      </w:pPr>
      <w:r>
        <w:t xml:space="preserve">Add a blurb in Governor’s newsletter </w:t>
      </w:r>
    </w:p>
    <w:p w:rsidR="005B3A91" w:rsidRDefault="000A6BA0" w:rsidP="005E6717">
      <w:pPr>
        <w:pStyle w:val="ListParagraph"/>
        <w:numPr>
          <w:ilvl w:val="3"/>
          <w:numId w:val="1"/>
        </w:numPr>
        <w:spacing w:after="0" w:line="240" w:lineRule="auto"/>
      </w:pPr>
      <w:r>
        <w:t>C</w:t>
      </w:r>
      <w:r w:rsidR="005B3A91">
        <w:t xml:space="preserve">alling Mary Muller to invite governor </w:t>
      </w:r>
      <w:r>
        <w:t xml:space="preserve">or representative </w:t>
      </w:r>
      <w:r w:rsidR="005B3A91">
        <w:t>to event in February</w:t>
      </w:r>
      <w:r>
        <w:t>. (Needs to be initiated soon.)</w:t>
      </w:r>
    </w:p>
    <w:p w:rsidR="000A6BA0" w:rsidRDefault="000A6BA0" w:rsidP="005E6717">
      <w:pPr>
        <w:pStyle w:val="ListParagraph"/>
        <w:numPr>
          <w:ilvl w:val="3"/>
          <w:numId w:val="1"/>
        </w:numPr>
        <w:spacing w:after="0" w:line="240" w:lineRule="auto"/>
      </w:pPr>
      <w:r>
        <w:t>Contact the Joint Office of Housing and ask if there is something they are doing that we could help as a service activity.</w:t>
      </w:r>
    </w:p>
    <w:p w:rsidR="00467DEF" w:rsidRDefault="00467DEF" w:rsidP="005E6717">
      <w:pPr>
        <w:pStyle w:val="ListParagraph"/>
        <w:numPr>
          <w:ilvl w:val="3"/>
          <w:numId w:val="1"/>
        </w:numPr>
        <w:spacing w:after="0" w:line="240" w:lineRule="auto"/>
      </w:pPr>
      <w:r>
        <w:t>Host a meet and greet at the Historical Society, Multnomah County Library</w:t>
      </w:r>
    </w:p>
    <w:p w:rsidR="00467DEF" w:rsidRDefault="00850F78" w:rsidP="005E6717">
      <w:pPr>
        <w:pStyle w:val="ListParagraph"/>
        <w:numPr>
          <w:ilvl w:val="3"/>
          <w:numId w:val="1"/>
        </w:numPr>
        <w:spacing w:after="0" w:line="240" w:lineRule="auto"/>
      </w:pPr>
      <w:r>
        <w:t>Determine cost to c</w:t>
      </w:r>
      <w:r w:rsidR="00467DEF">
        <w:t xml:space="preserve">ontract with Organizational Development specialists  </w:t>
      </w:r>
      <w:r>
        <w:t xml:space="preserve">to update mission statement making it </w:t>
      </w:r>
      <w:r w:rsidR="00467DEF">
        <w:t>more approachable for public</w:t>
      </w:r>
      <w:r>
        <w:t xml:space="preserve"> (maximum of 5-6 hours labor cost)</w:t>
      </w:r>
    </w:p>
    <w:p w:rsidR="00850F78" w:rsidRDefault="000A6BA0" w:rsidP="000A6BA0">
      <w:pPr>
        <w:pStyle w:val="ListParagraph"/>
        <w:numPr>
          <w:ilvl w:val="1"/>
          <w:numId w:val="1"/>
        </w:numPr>
        <w:spacing w:after="0" w:line="240" w:lineRule="auto"/>
      </w:pPr>
      <w:r>
        <w:t xml:space="preserve">There will be continued discussions in the future. </w:t>
      </w:r>
    </w:p>
    <w:p w:rsidR="00850F78" w:rsidRDefault="00850F78" w:rsidP="005E6717">
      <w:pPr>
        <w:pStyle w:val="ListParagraph"/>
        <w:numPr>
          <w:ilvl w:val="0"/>
          <w:numId w:val="1"/>
        </w:numPr>
        <w:spacing w:after="0" w:line="240" w:lineRule="auto"/>
      </w:pPr>
      <w:r>
        <w:t xml:space="preserve">City of Portland resolution </w:t>
      </w:r>
    </w:p>
    <w:p w:rsidR="00850F78" w:rsidRDefault="00850F78" w:rsidP="00850F78">
      <w:pPr>
        <w:pStyle w:val="ListParagraph"/>
        <w:spacing w:after="0" w:line="240" w:lineRule="auto"/>
        <w:ind w:left="1440"/>
      </w:pPr>
      <w:r>
        <w:t>The City will do a supplemental budget to correct error</w:t>
      </w:r>
    </w:p>
    <w:p w:rsidR="00850F78" w:rsidRDefault="00850F78" w:rsidP="00850F78">
      <w:pPr>
        <w:pStyle w:val="ListParagraph"/>
        <w:spacing w:after="0" w:line="240" w:lineRule="auto"/>
        <w:ind w:left="1440"/>
      </w:pPr>
      <w:r>
        <w:t>The cost was $1,500</w:t>
      </w:r>
    </w:p>
    <w:p w:rsidR="00850F78" w:rsidRDefault="00850F78" w:rsidP="005E6717">
      <w:pPr>
        <w:pStyle w:val="ListParagraph"/>
        <w:numPr>
          <w:ilvl w:val="0"/>
          <w:numId w:val="1"/>
        </w:numPr>
        <w:spacing w:after="0" w:line="240" w:lineRule="auto"/>
      </w:pPr>
      <w:r>
        <w:t>Lusted Water District Update Letter</w:t>
      </w:r>
    </w:p>
    <w:p w:rsidR="00850F78" w:rsidRDefault="00850F78" w:rsidP="001502EB">
      <w:pPr>
        <w:pStyle w:val="ListParagraph"/>
        <w:spacing w:after="0" w:line="240" w:lineRule="auto"/>
        <w:ind w:left="1440"/>
      </w:pPr>
      <w:r>
        <w:t xml:space="preserve">When replying </w:t>
      </w:r>
      <w:r w:rsidR="001502EB">
        <w:t xml:space="preserve">let the district know the commission met today and among the business items reviewed the letter from Lusted Water dated August 31, and are asking when you anticipate completion. Let them know they indicated they are close. Ask if it is possible to give a specific time frame that can be communicated to the Commissioners? </w:t>
      </w:r>
    </w:p>
    <w:p w:rsidR="00D36D9C" w:rsidRDefault="00B84DB0" w:rsidP="005E6717">
      <w:pPr>
        <w:pStyle w:val="ListParagraph"/>
        <w:numPr>
          <w:ilvl w:val="0"/>
          <w:numId w:val="1"/>
        </w:numPr>
        <w:spacing w:after="0" w:line="240" w:lineRule="auto"/>
      </w:pPr>
      <w:r>
        <w:t xml:space="preserve">Next meeting to be held in </w:t>
      </w:r>
      <w:r w:rsidR="005E6717">
        <w:t xml:space="preserve">Tuesday, </w:t>
      </w:r>
      <w:r w:rsidR="00FD679D">
        <w:t>October 1 at 12:00 p.m.</w:t>
      </w:r>
      <w:r>
        <w:t xml:space="preserve"> </w:t>
      </w:r>
      <w:r w:rsidR="00591A2F">
        <w:t>Primary agenda item will be ballot measure reviews and question development.</w:t>
      </w:r>
      <w:r>
        <w:t xml:space="preserve"> </w:t>
      </w:r>
    </w:p>
    <w:p w:rsidR="00DA5836" w:rsidRPr="00AB2827" w:rsidRDefault="006B2CFF" w:rsidP="00777C67">
      <w:pPr>
        <w:pStyle w:val="ListParagraph"/>
        <w:numPr>
          <w:ilvl w:val="0"/>
          <w:numId w:val="1"/>
        </w:numPr>
        <w:spacing w:after="0" w:line="240" w:lineRule="auto"/>
      </w:pPr>
      <w:r w:rsidRPr="00AB2827">
        <w:t xml:space="preserve"> </w:t>
      </w:r>
      <w:r w:rsidR="00DA5836" w:rsidRPr="00AB2827">
        <w:t xml:space="preserve">Chair Barringer </w:t>
      </w:r>
      <w:r w:rsidR="00067584" w:rsidRPr="00AB2827">
        <w:t xml:space="preserve">adjourned </w:t>
      </w:r>
      <w:r w:rsidR="00500551" w:rsidRPr="00AB2827">
        <w:t>the meeting at 1:</w:t>
      </w:r>
      <w:r w:rsidR="005E6717">
        <w:t>27</w:t>
      </w:r>
      <w:r w:rsidR="00DA5836" w:rsidRPr="00AB2827">
        <w:t xml:space="preserve"> </w:t>
      </w:r>
      <w:r w:rsidR="00067584" w:rsidRPr="00AB2827">
        <w:t>pm</w:t>
      </w:r>
      <w:r w:rsidR="00DA5836" w:rsidRPr="00AB2827">
        <w:t xml:space="preserve">. </w:t>
      </w:r>
    </w:p>
    <w:p w:rsidR="00174064" w:rsidRDefault="00174064" w:rsidP="002E1DAE">
      <w:pPr>
        <w:spacing w:after="0" w:line="240" w:lineRule="auto"/>
      </w:pPr>
    </w:p>
    <w:p w:rsidR="00981BE8" w:rsidRDefault="00981BE8" w:rsidP="002E1DAE">
      <w:pPr>
        <w:spacing w:after="0" w:line="240" w:lineRule="auto"/>
      </w:pPr>
      <w:r>
        <w:t>Attachments:</w:t>
      </w:r>
    </w:p>
    <w:p w:rsidR="00981BE8" w:rsidRDefault="00981BE8" w:rsidP="004277F9">
      <w:pPr>
        <w:pStyle w:val="ListParagraph"/>
        <w:numPr>
          <w:ilvl w:val="0"/>
          <w:numId w:val="23"/>
        </w:numPr>
        <w:spacing w:after="0" w:line="240" w:lineRule="auto"/>
      </w:pPr>
      <w:r>
        <w:t>TSCC Budget Analysis FY19</w:t>
      </w:r>
    </w:p>
    <w:p w:rsidR="003233F5" w:rsidRDefault="003233F5" w:rsidP="004277F9">
      <w:pPr>
        <w:pStyle w:val="ListParagraph"/>
        <w:numPr>
          <w:ilvl w:val="0"/>
          <w:numId w:val="23"/>
        </w:numPr>
        <w:spacing w:after="0" w:line="240" w:lineRule="auto"/>
      </w:pPr>
      <w:r>
        <w:t>Cost Allocation</w:t>
      </w:r>
    </w:p>
    <w:p w:rsidR="003233F5" w:rsidRDefault="003233F5" w:rsidP="004277F9">
      <w:pPr>
        <w:pStyle w:val="ListParagraph"/>
        <w:numPr>
          <w:ilvl w:val="0"/>
          <w:numId w:val="23"/>
        </w:numPr>
        <w:spacing w:after="0" w:line="240" w:lineRule="auto"/>
      </w:pPr>
      <w:r>
        <w:t>Fall property tax measure hearings</w:t>
      </w:r>
    </w:p>
    <w:p w:rsidR="00D36D9C" w:rsidRDefault="00D36D9C" w:rsidP="00AB338C">
      <w:pPr>
        <w:pStyle w:val="ListParagraph"/>
        <w:spacing w:after="0" w:line="240" w:lineRule="auto"/>
      </w:pPr>
    </w:p>
    <w:p w:rsidR="009D6A95" w:rsidRPr="00AB2827" w:rsidRDefault="009D6A95" w:rsidP="002E1DAE">
      <w:pPr>
        <w:spacing w:after="0" w:line="240" w:lineRule="auto"/>
      </w:pPr>
    </w:p>
    <w:p w:rsidR="004919FF" w:rsidRPr="00AB2827" w:rsidRDefault="00DA5836" w:rsidP="00AB6F81">
      <w:pPr>
        <w:spacing w:after="0" w:line="240" w:lineRule="auto"/>
      </w:pPr>
      <w:r w:rsidRPr="00AB2827">
        <w:t>Craig Gibons, Executive Director</w:t>
      </w:r>
    </w:p>
    <w:p w:rsidR="004919FF" w:rsidRDefault="00CE0734" w:rsidP="00174064">
      <w:pPr>
        <w:spacing w:after="0" w:line="240" w:lineRule="auto"/>
        <w:rPr>
          <w:b/>
          <w:color w:val="FF0000"/>
        </w:rPr>
      </w:pPr>
      <w:r w:rsidRPr="00CE0734">
        <w:rPr>
          <w:b/>
          <w:color w:val="FF0000"/>
        </w:rPr>
        <w:t>Approved by Commission at its November 26, 2019 Meeting</w:t>
      </w:r>
    </w:p>
    <w:p w:rsidR="00EA2D60" w:rsidRDefault="00EA2D60" w:rsidP="00174064">
      <w:pPr>
        <w:spacing w:after="0" w:line="240" w:lineRule="auto"/>
        <w:rPr>
          <w:b/>
          <w:color w:val="FF0000"/>
        </w:rPr>
      </w:pPr>
    </w:p>
    <w:p w:rsidR="00EA2D60" w:rsidRDefault="00EA2D60">
      <w:pPr>
        <w:rPr>
          <w:b/>
          <w:color w:val="FF0000"/>
        </w:rPr>
      </w:pPr>
      <w:r>
        <w:rPr>
          <w:b/>
          <w:color w:val="FF0000"/>
        </w:rPr>
        <w:br w:type="page"/>
      </w:r>
    </w:p>
    <w:p w:rsidR="00EA2D60" w:rsidRDefault="00EA2D60" w:rsidP="00174064">
      <w:pPr>
        <w:spacing w:after="0" w:line="240" w:lineRule="auto"/>
        <w:rPr>
          <w:b/>
          <w:color w:val="FF0000"/>
        </w:rPr>
      </w:pPr>
    </w:p>
    <w:p w:rsidR="00EA2D60" w:rsidRDefault="00EA2D60" w:rsidP="00174064">
      <w:pPr>
        <w:spacing w:after="0" w:line="240" w:lineRule="auto"/>
        <w:rPr>
          <w:b/>
          <w:color w:val="FF0000"/>
        </w:rPr>
      </w:pPr>
    </w:p>
    <w:p w:rsidR="00EA2D60" w:rsidRDefault="00EA2D60" w:rsidP="00EA2D60">
      <w:pPr>
        <w:spacing w:after="0" w:line="240" w:lineRule="auto"/>
        <w:jc w:val="center"/>
        <w:rPr>
          <w:b/>
          <w:color w:val="FF0000"/>
        </w:rPr>
      </w:pPr>
      <w:r>
        <w:rPr>
          <w:b/>
          <w:noProof/>
          <w:color w:val="FF0000"/>
        </w:rPr>
        <w:drawing>
          <wp:inline distT="0" distB="0" distL="0" distR="0" wp14:anchorId="4BD66261">
            <wp:extent cx="2788991" cy="29125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869" cy="2920760"/>
                    </a:xfrm>
                    <a:prstGeom prst="rect">
                      <a:avLst/>
                    </a:prstGeom>
                    <a:noFill/>
                  </pic:spPr>
                </pic:pic>
              </a:graphicData>
            </a:graphic>
          </wp:inline>
        </w:drawing>
      </w:r>
    </w:p>
    <w:p w:rsidR="003233F5" w:rsidRDefault="003233F5" w:rsidP="00EA2D60">
      <w:pPr>
        <w:spacing w:after="0" w:line="240" w:lineRule="auto"/>
        <w:jc w:val="center"/>
        <w:rPr>
          <w:b/>
          <w:color w:val="FF0000"/>
        </w:rPr>
      </w:pPr>
    </w:p>
    <w:p w:rsidR="003233F5" w:rsidRDefault="003233F5" w:rsidP="00EA2D60">
      <w:pPr>
        <w:spacing w:after="0" w:line="240" w:lineRule="auto"/>
        <w:jc w:val="center"/>
        <w:rPr>
          <w:b/>
          <w:color w:val="FF0000"/>
        </w:rPr>
      </w:pPr>
      <w:r>
        <w:rPr>
          <w:noProof/>
        </w:rPr>
        <w:drawing>
          <wp:inline distT="0" distB="0" distL="0" distR="0" wp14:anchorId="76E60715" wp14:editId="3BDBB24D">
            <wp:extent cx="5734050" cy="436880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3847" cy="4376264"/>
                    </a:xfrm>
                    <a:prstGeom prst="rect">
                      <a:avLst/>
                    </a:prstGeom>
                    <a:ln w="9525">
                      <a:solidFill>
                        <a:schemeClr val="tx1"/>
                      </a:solidFill>
                    </a:ln>
                  </pic:spPr>
                </pic:pic>
              </a:graphicData>
            </a:graphic>
          </wp:inline>
        </w:drawing>
      </w:r>
    </w:p>
    <w:p w:rsidR="003233F5" w:rsidRDefault="003233F5" w:rsidP="00EA2D60">
      <w:pPr>
        <w:spacing w:after="0" w:line="240" w:lineRule="auto"/>
        <w:jc w:val="center"/>
        <w:rPr>
          <w:b/>
          <w:color w:val="FF0000"/>
        </w:rPr>
      </w:pPr>
    </w:p>
    <w:p w:rsidR="003233F5" w:rsidRDefault="003233F5" w:rsidP="00EA2D60">
      <w:pPr>
        <w:spacing w:after="0" w:line="240" w:lineRule="auto"/>
        <w:jc w:val="center"/>
        <w:rPr>
          <w:b/>
          <w:color w:val="FF0000"/>
        </w:rPr>
      </w:pPr>
    </w:p>
    <w:p w:rsidR="003233F5" w:rsidRDefault="003233F5" w:rsidP="00EA2D60">
      <w:pPr>
        <w:spacing w:after="0" w:line="240" w:lineRule="auto"/>
        <w:jc w:val="center"/>
        <w:rPr>
          <w:b/>
          <w:color w:val="FF0000"/>
        </w:rPr>
      </w:pPr>
      <w:r>
        <w:rPr>
          <w:noProof/>
        </w:rPr>
        <w:drawing>
          <wp:inline distT="0" distB="0" distL="0" distR="0" wp14:anchorId="5D8E936A" wp14:editId="442E2351">
            <wp:extent cx="3309516" cy="3826934"/>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8868" cy="3837748"/>
                    </a:xfrm>
                    <a:prstGeom prst="rect">
                      <a:avLst/>
                    </a:prstGeom>
                  </pic:spPr>
                </pic:pic>
              </a:graphicData>
            </a:graphic>
          </wp:inline>
        </w:drawing>
      </w:r>
    </w:p>
    <w:p w:rsidR="003233F5" w:rsidRPr="00CE0734" w:rsidRDefault="003233F5" w:rsidP="00EA2D60">
      <w:pPr>
        <w:spacing w:after="0" w:line="240" w:lineRule="auto"/>
        <w:jc w:val="center"/>
        <w:rPr>
          <w:b/>
          <w:color w:val="FF0000"/>
        </w:rPr>
      </w:pPr>
      <w:r>
        <w:rPr>
          <w:noProof/>
        </w:rPr>
        <w:drawing>
          <wp:inline distT="0" distB="0" distL="0" distR="0" wp14:anchorId="4E78D671" wp14:editId="29F3BF76">
            <wp:extent cx="4606636" cy="3937000"/>
            <wp:effectExtent l="19050" t="19050" r="2286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9426" cy="3947931"/>
                    </a:xfrm>
                    <a:prstGeom prst="rect">
                      <a:avLst/>
                    </a:prstGeom>
                    <a:ln w="9525">
                      <a:solidFill>
                        <a:schemeClr val="tx1"/>
                      </a:solidFill>
                    </a:ln>
                  </pic:spPr>
                </pic:pic>
              </a:graphicData>
            </a:graphic>
          </wp:inline>
        </w:drawing>
      </w:r>
    </w:p>
    <w:sectPr w:rsidR="003233F5" w:rsidRPr="00CE0734" w:rsidSect="004919F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8F" w:rsidRDefault="0076678F" w:rsidP="003048D3">
      <w:pPr>
        <w:spacing w:after="0" w:line="240" w:lineRule="auto"/>
      </w:pPr>
      <w:r>
        <w:separator/>
      </w:r>
    </w:p>
  </w:endnote>
  <w:endnote w:type="continuationSeparator" w:id="0">
    <w:p w:rsidR="0076678F" w:rsidRDefault="0076678F" w:rsidP="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D" w:rsidRPr="0007095D" w:rsidRDefault="0007095D" w:rsidP="0007095D">
    <w:pPr>
      <w:pStyle w:val="Footer"/>
      <w:jc w:val="righ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8F" w:rsidRDefault="0076678F" w:rsidP="003048D3">
      <w:pPr>
        <w:spacing w:after="0" w:line="240" w:lineRule="auto"/>
      </w:pPr>
      <w:r>
        <w:separator/>
      </w:r>
    </w:p>
  </w:footnote>
  <w:footnote w:type="continuationSeparator" w:id="0">
    <w:p w:rsidR="0076678F" w:rsidRDefault="0076678F" w:rsidP="0030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13" w:rsidRDefault="00331513" w:rsidP="00331513">
    <w:pPr>
      <w:pStyle w:val="Header"/>
      <w:pBdr>
        <w:bottom w:val="single" w:sz="12" w:space="1" w:color="006600"/>
      </w:pBdr>
      <w:tabs>
        <w:tab w:val="center" w:pos="4320"/>
      </w:tabs>
    </w:pPr>
    <w:r>
      <w:tab/>
    </w:r>
    <w:r w:rsidR="003048D3">
      <w:rPr>
        <w:noProof/>
      </w:rPr>
      <w:drawing>
        <wp:inline distT="0" distB="0" distL="0" distR="0" wp14:anchorId="311596CC" wp14:editId="2446DDBD">
          <wp:extent cx="3812336" cy="838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x Supervising and Conservation Commission (2).jpg"/>
                  <pic:cNvPicPr/>
                </pic:nvPicPr>
                <pic:blipFill>
                  <a:blip r:embed="rId1">
                    <a:extLst>
                      <a:ext uri="{28A0092B-C50C-407E-A947-70E740481C1C}">
                        <a14:useLocalDpi xmlns:a14="http://schemas.microsoft.com/office/drawing/2010/main" val="0"/>
                      </a:ext>
                    </a:extLst>
                  </a:blip>
                  <a:stretch>
                    <a:fillRect/>
                  </a:stretch>
                </pic:blipFill>
                <pic:spPr>
                  <a:xfrm>
                    <a:off x="0" y="0"/>
                    <a:ext cx="3886463" cy="854801"/>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491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3EE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5175F"/>
    <w:multiLevelType w:val="hybridMultilevel"/>
    <w:tmpl w:val="839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2E00"/>
    <w:multiLevelType w:val="hybridMultilevel"/>
    <w:tmpl w:val="531A7592"/>
    <w:lvl w:ilvl="0" w:tplc="07E65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35A44"/>
    <w:multiLevelType w:val="hybridMultilevel"/>
    <w:tmpl w:val="6B24A556"/>
    <w:lvl w:ilvl="0" w:tplc="FF0C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86427"/>
    <w:multiLevelType w:val="hybridMultilevel"/>
    <w:tmpl w:val="F61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48A"/>
    <w:multiLevelType w:val="hybridMultilevel"/>
    <w:tmpl w:val="279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789D"/>
    <w:multiLevelType w:val="hybridMultilevel"/>
    <w:tmpl w:val="D8DE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81562"/>
    <w:multiLevelType w:val="multilevel"/>
    <w:tmpl w:val="E5B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00B3"/>
    <w:multiLevelType w:val="hybridMultilevel"/>
    <w:tmpl w:val="F4203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9D0C5B"/>
    <w:multiLevelType w:val="hybridMultilevel"/>
    <w:tmpl w:val="84F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33DE1"/>
    <w:multiLevelType w:val="hybridMultilevel"/>
    <w:tmpl w:val="1DE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25C0"/>
    <w:multiLevelType w:val="hybridMultilevel"/>
    <w:tmpl w:val="D11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41B04"/>
    <w:multiLevelType w:val="hybridMultilevel"/>
    <w:tmpl w:val="5E1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C55FF"/>
    <w:multiLevelType w:val="hybridMultilevel"/>
    <w:tmpl w:val="D67C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83E5D"/>
    <w:multiLevelType w:val="hybridMultilevel"/>
    <w:tmpl w:val="B62EB03A"/>
    <w:lvl w:ilvl="0" w:tplc="42703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542F0C"/>
    <w:multiLevelType w:val="hybridMultilevel"/>
    <w:tmpl w:val="DE8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1C01"/>
    <w:multiLevelType w:val="hybridMultilevel"/>
    <w:tmpl w:val="89D4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5290F"/>
    <w:multiLevelType w:val="hybridMultilevel"/>
    <w:tmpl w:val="477E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4A533A"/>
    <w:multiLevelType w:val="hybridMultilevel"/>
    <w:tmpl w:val="728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3019D"/>
    <w:multiLevelType w:val="hybridMultilevel"/>
    <w:tmpl w:val="08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42251"/>
    <w:multiLevelType w:val="hybridMultilevel"/>
    <w:tmpl w:val="71F415F6"/>
    <w:lvl w:ilvl="0" w:tplc="41665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C51A6"/>
    <w:multiLevelType w:val="hybridMultilevel"/>
    <w:tmpl w:val="1FE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B638B"/>
    <w:multiLevelType w:val="hybridMultilevel"/>
    <w:tmpl w:val="B268B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2820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408CE"/>
    <w:multiLevelType w:val="hybridMultilevel"/>
    <w:tmpl w:val="DEAC02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B85766C"/>
    <w:multiLevelType w:val="hybridMultilevel"/>
    <w:tmpl w:val="6F26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F2819"/>
    <w:multiLevelType w:val="hybridMultilevel"/>
    <w:tmpl w:val="07FA5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EC516D3"/>
    <w:multiLevelType w:val="hybridMultilevel"/>
    <w:tmpl w:val="C4D2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20"/>
  </w:num>
  <w:num w:numId="4">
    <w:abstractNumId w:val="23"/>
  </w:num>
  <w:num w:numId="5">
    <w:abstractNumId w:val="17"/>
  </w:num>
  <w:num w:numId="6">
    <w:abstractNumId w:val="26"/>
  </w:num>
  <w:num w:numId="7">
    <w:abstractNumId w:val="13"/>
  </w:num>
  <w:num w:numId="8">
    <w:abstractNumId w:val="0"/>
  </w:num>
  <w:num w:numId="9">
    <w:abstractNumId w:val="14"/>
  </w:num>
  <w:num w:numId="10">
    <w:abstractNumId w:val="25"/>
  </w:num>
  <w:num w:numId="11">
    <w:abstractNumId w:val="16"/>
  </w:num>
  <w:num w:numId="12">
    <w:abstractNumId w:val="7"/>
  </w:num>
  <w:num w:numId="13">
    <w:abstractNumId w:val="9"/>
  </w:num>
  <w:num w:numId="14">
    <w:abstractNumId w:val="10"/>
  </w:num>
  <w:num w:numId="15">
    <w:abstractNumId w:val="12"/>
  </w:num>
  <w:num w:numId="16">
    <w:abstractNumId w:val="19"/>
  </w:num>
  <w:num w:numId="17">
    <w:abstractNumId w:val="5"/>
  </w:num>
  <w:num w:numId="18">
    <w:abstractNumId w:val="21"/>
  </w:num>
  <w:num w:numId="19">
    <w:abstractNumId w:val="15"/>
  </w:num>
  <w:num w:numId="20">
    <w:abstractNumId w:val="4"/>
  </w:num>
  <w:num w:numId="21">
    <w:abstractNumId w:val="11"/>
  </w:num>
  <w:num w:numId="22">
    <w:abstractNumId w:val="18"/>
  </w:num>
  <w:num w:numId="23">
    <w:abstractNumId w:val="3"/>
  </w:num>
  <w:num w:numId="24">
    <w:abstractNumId w:val="1"/>
  </w:num>
  <w:num w:numId="25">
    <w:abstractNumId w:val="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D3"/>
    <w:rsid w:val="00011237"/>
    <w:rsid w:val="000142CE"/>
    <w:rsid w:val="00041300"/>
    <w:rsid w:val="0005243E"/>
    <w:rsid w:val="00054FFB"/>
    <w:rsid w:val="00056998"/>
    <w:rsid w:val="00057B7B"/>
    <w:rsid w:val="00067584"/>
    <w:rsid w:val="0007095D"/>
    <w:rsid w:val="00081526"/>
    <w:rsid w:val="00097952"/>
    <w:rsid w:val="000A57C6"/>
    <w:rsid w:val="000A6BA0"/>
    <w:rsid w:val="000B3E0A"/>
    <w:rsid w:val="000F5FFE"/>
    <w:rsid w:val="001041D9"/>
    <w:rsid w:val="001502EB"/>
    <w:rsid w:val="00174064"/>
    <w:rsid w:val="001A018B"/>
    <w:rsid w:val="001D3384"/>
    <w:rsid w:val="001D524A"/>
    <w:rsid w:val="001E65C8"/>
    <w:rsid w:val="001F6381"/>
    <w:rsid w:val="00225C1E"/>
    <w:rsid w:val="0026442E"/>
    <w:rsid w:val="002767DA"/>
    <w:rsid w:val="00276991"/>
    <w:rsid w:val="002B406F"/>
    <w:rsid w:val="002C2431"/>
    <w:rsid w:val="002C63D9"/>
    <w:rsid w:val="002D38A0"/>
    <w:rsid w:val="002E1DAE"/>
    <w:rsid w:val="002E2FA0"/>
    <w:rsid w:val="002E64BD"/>
    <w:rsid w:val="003048D3"/>
    <w:rsid w:val="003050F4"/>
    <w:rsid w:val="00311DA6"/>
    <w:rsid w:val="00313DF8"/>
    <w:rsid w:val="003233F5"/>
    <w:rsid w:val="00324EA9"/>
    <w:rsid w:val="00331513"/>
    <w:rsid w:val="00362EBB"/>
    <w:rsid w:val="00365390"/>
    <w:rsid w:val="00370C6E"/>
    <w:rsid w:val="00383726"/>
    <w:rsid w:val="003A0D08"/>
    <w:rsid w:val="003C0AC9"/>
    <w:rsid w:val="003E1E63"/>
    <w:rsid w:val="003E2CC4"/>
    <w:rsid w:val="003F4E90"/>
    <w:rsid w:val="004039DB"/>
    <w:rsid w:val="0041006B"/>
    <w:rsid w:val="00420E8F"/>
    <w:rsid w:val="0042505E"/>
    <w:rsid w:val="00426C07"/>
    <w:rsid w:val="004277F9"/>
    <w:rsid w:val="004345F9"/>
    <w:rsid w:val="00435511"/>
    <w:rsid w:val="00436DA5"/>
    <w:rsid w:val="00460177"/>
    <w:rsid w:val="004603AB"/>
    <w:rsid w:val="00465775"/>
    <w:rsid w:val="00467DEF"/>
    <w:rsid w:val="004919FF"/>
    <w:rsid w:val="004B537E"/>
    <w:rsid w:val="004D4F56"/>
    <w:rsid w:val="00500551"/>
    <w:rsid w:val="005067F6"/>
    <w:rsid w:val="0051120F"/>
    <w:rsid w:val="0053325E"/>
    <w:rsid w:val="00533721"/>
    <w:rsid w:val="00563F19"/>
    <w:rsid w:val="0057190E"/>
    <w:rsid w:val="00581400"/>
    <w:rsid w:val="00591A2F"/>
    <w:rsid w:val="005B2E44"/>
    <w:rsid w:val="005B3A91"/>
    <w:rsid w:val="005B3C9C"/>
    <w:rsid w:val="005C7C96"/>
    <w:rsid w:val="005E2529"/>
    <w:rsid w:val="005E6717"/>
    <w:rsid w:val="0064234B"/>
    <w:rsid w:val="0065046D"/>
    <w:rsid w:val="0065687E"/>
    <w:rsid w:val="00661D62"/>
    <w:rsid w:val="006B2CFF"/>
    <w:rsid w:val="006C2FE1"/>
    <w:rsid w:val="006E5D04"/>
    <w:rsid w:val="006E6B8A"/>
    <w:rsid w:val="006E75EF"/>
    <w:rsid w:val="00702D25"/>
    <w:rsid w:val="00710278"/>
    <w:rsid w:val="00712DDD"/>
    <w:rsid w:val="0071560B"/>
    <w:rsid w:val="0072419F"/>
    <w:rsid w:val="00734320"/>
    <w:rsid w:val="00752381"/>
    <w:rsid w:val="007559FE"/>
    <w:rsid w:val="0076678F"/>
    <w:rsid w:val="00777C67"/>
    <w:rsid w:val="00784DD0"/>
    <w:rsid w:val="007A5637"/>
    <w:rsid w:val="007B3471"/>
    <w:rsid w:val="007B75B6"/>
    <w:rsid w:val="007C3046"/>
    <w:rsid w:val="007C7762"/>
    <w:rsid w:val="00802B55"/>
    <w:rsid w:val="00810E1C"/>
    <w:rsid w:val="00830EB2"/>
    <w:rsid w:val="00837B63"/>
    <w:rsid w:val="00850F78"/>
    <w:rsid w:val="00880181"/>
    <w:rsid w:val="0088258F"/>
    <w:rsid w:val="0089016C"/>
    <w:rsid w:val="00896264"/>
    <w:rsid w:val="008A1E05"/>
    <w:rsid w:val="008A33C0"/>
    <w:rsid w:val="008C0776"/>
    <w:rsid w:val="008C3F80"/>
    <w:rsid w:val="008E4055"/>
    <w:rsid w:val="0090117A"/>
    <w:rsid w:val="00921B63"/>
    <w:rsid w:val="00931F08"/>
    <w:rsid w:val="009355D2"/>
    <w:rsid w:val="00965794"/>
    <w:rsid w:val="00965B5E"/>
    <w:rsid w:val="0098046E"/>
    <w:rsid w:val="00981BE8"/>
    <w:rsid w:val="00981D28"/>
    <w:rsid w:val="00983F17"/>
    <w:rsid w:val="009B2FA7"/>
    <w:rsid w:val="009C03F2"/>
    <w:rsid w:val="009D35B0"/>
    <w:rsid w:val="009D6A95"/>
    <w:rsid w:val="009E3CFE"/>
    <w:rsid w:val="009E4421"/>
    <w:rsid w:val="009F78A5"/>
    <w:rsid w:val="00A07BAC"/>
    <w:rsid w:val="00A110CD"/>
    <w:rsid w:val="00A111C5"/>
    <w:rsid w:val="00A11F22"/>
    <w:rsid w:val="00A23619"/>
    <w:rsid w:val="00A32062"/>
    <w:rsid w:val="00A41054"/>
    <w:rsid w:val="00A410A3"/>
    <w:rsid w:val="00A417CA"/>
    <w:rsid w:val="00A44259"/>
    <w:rsid w:val="00A5741C"/>
    <w:rsid w:val="00A773B9"/>
    <w:rsid w:val="00A96720"/>
    <w:rsid w:val="00AA0FAD"/>
    <w:rsid w:val="00AA4B7E"/>
    <w:rsid w:val="00AA5524"/>
    <w:rsid w:val="00AB2827"/>
    <w:rsid w:val="00AB338C"/>
    <w:rsid w:val="00AB6F81"/>
    <w:rsid w:val="00AC0317"/>
    <w:rsid w:val="00AC5B42"/>
    <w:rsid w:val="00AD2A5A"/>
    <w:rsid w:val="00AD3660"/>
    <w:rsid w:val="00AE06F8"/>
    <w:rsid w:val="00AE437C"/>
    <w:rsid w:val="00B00CE9"/>
    <w:rsid w:val="00B05C86"/>
    <w:rsid w:val="00B15A0C"/>
    <w:rsid w:val="00B45EF9"/>
    <w:rsid w:val="00B6027F"/>
    <w:rsid w:val="00B60E00"/>
    <w:rsid w:val="00B763AF"/>
    <w:rsid w:val="00B84DB0"/>
    <w:rsid w:val="00B9640D"/>
    <w:rsid w:val="00BA59DD"/>
    <w:rsid w:val="00BC4135"/>
    <w:rsid w:val="00BD298F"/>
    <w:rsid w:val="00BE297B"/>
    <w:rsid w:val="00BE3397"/>
    <w:rsid w:val="00BF5945"/>
    <w:rsid w:val="00C06485"/>
    <w:rsid w:val="00C06D57"/>
    <w:rsid w:val="00C4667E"/>
    <w:rsid w:val="00C4711D"/>
    <w:rsid w:val="00C63D54"/>
    <w:rsid w:val="00C72D9E"/>
    <w:rsid w:val="00CA154C"/>
    <w:rsid w:val="00CB0C46"/>
    <w:rsid w:val="00CD481C"/>
    <w:rsid w:val="00CE0734"/>
    <w:rsid w:val="00CE1942"/>
    <w:rsid w:val="00D05A82"/>
    <w:rsid w:val="00D13933"/>
    <w:rsid w:val="00D14253"/>
    <w:rsid w:val="00D149B5"/>
    <w:rsid w:val="00D36D9C"/>
    <w:rsid w:val="00D527D3"/>
    <w:rsid w:val="00D622CD"/>
    <w:rsid w:val="00D62C07"/>
    <w:rsid w:val="00DA5836"/>
    <w:rsid w:val="00DC121F"/>
    <w:rsid w:val="00DC5CC1"/>
    <w:rsid w:val="00DF0F68"/>
    <w:rsid w:val="00DF18E3"/>
    <w:rsid w:val="00E20C7E"/>
    <w:rsid w:val="00E21C63"/>
    <w:rsid w:val="00E35016"/>
    <w:rsid w:val="00E404B2"/>
    <w:rsid w:val="00E466E0"/>
    <w:rsid w:val="00E61CC9"/>
    <w:rsid w:val="00E649D4"/>
    <w:rsid w:val="00E70F36"/>
    <w:rsid w:val="00EA0041"/>
    <w:rsid w:val="00EA2D60"/>
    <w:rsid w:val="00EC65FF"/>
    <w:rsid w:val="00EF6A4B"/>
    <w:rsid w:val="00F2125A"/>
    <w:rsid w:val="00F24B05"/>
    <w:rsid w:val="00F25B26"/>
    <w:rsid w:val="00F32815"/>
    <w:rsid w:val="00F356CE"/>
    <w:rsid w:val="00F375A9"/>
    <w:rsid w:val="00F5021E"/>
    <w:rsid w:val="00F64377"/>
    <w:rsid w:val="00F67781"/>
    <w:rsid w:val="00F8057B"/>
    <w:rsid w:val="00F94235"/>
    <w:rsid w:val="00FA0B39"/>
    <w:rsid w:val="00FA152E"/>
    <w:rsid w:val="00FA1E54"/>
    <w:rsid w:val="00FA53F5"/>
    <w:rsid w:val="00FB2118"/>
    <w:rsid w:val="00FC6479"/>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944ED13-F665-4636-9EAD-3931EEF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D3"/>
    <w:rPr>
      <w:sz w:val="24"/>
    </w:rPr>
  </w:style>
  <w:style w:type="paragraph" w:styleId="Footer">
    <w:name w:val="footer"/>
    <w:basedOn w:val="Normal"/>
    <w:link w:val="FooterChar"/>
    <w:uiPriority w:val="99"/>
    <w:unhideWhenUsed/>
    <w:rsid w:val="0030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D3"/>
    <w:rPr>
      <w:sz w:val="24"/>
    </w:rPr>
  </w:style>
  <w:style w:type="paragraph" w:styleId="ListParagraph">
    <w:name w:val="List Paragraph"/>
    <w:basedOn w:val="Normal"/>
    <w:uiPriority w:val="34"/>
    <w:qFormat/>
    <w:rsid w:val="003E1E63"/>
    <w:pPr>
      <w:ind w:left="720"/>
      <w:contextualSpacing/>
    </w:pPr>
  </w:style>
  <w:style w:type="paragraph" w:styleId="BalloonText">
    <w:name w:val="Balloon Text"/>
    <w:basedOn w:val="Normal"/>
    <w:link w:val="BalloonTextChar"/>
    <w:uiPriority w:val="99"/>
    <w:semiHidden/>
    <w:unhideWhenUsed/>
    <w:rsid w:val="006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62"/>
    <w:rPr>
      <w:rFonts w:ascii="Segoe UI" w:hAnsi="Segoe UI" w:cs="Segoe UI"/>
      <w:sz w:val="18"/>
      <w:szCs w:val="18"/>
    </w:rPr>
  </w:style>
  <w:style w:type="table" w:styleId="TableGrid">
    <w:name w:val="Table Grid"/>
    <w:basedOn w:val="TableNormal"/>
    <w:uiPriority w:val="39"/>
    <w:rsid w:val="00362EB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65775"/>
  </w:style>
  <w:style w:type="character" w:styleId="Hyperlink">
    <w:name w:val="Hyperlink"/>
    <w:basedOn w:val="DefaultParagraphFont"/>
    <w:uiPriority w:val="99"/>
    <w:unhideWhenUsed/>
    <w:rsid w:val="00880181"/>
    <w:rPr>
      <w:color w:val="0563C1" w:themeColor="hyperlink"/>
      <w:u w:val="single"/>
    </w:rPr>
  </w:style>
  <w:style w:type="paragraph" w:styleId="ListBullet">
    <w:name w:val="List Bullet"/>
    <w:basedOn w:val="Normal"/>
    <w:uiPriority w:val="99"/>
    <w:unhideWhenUsed/>
    <w:rsid w:val="00420E8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250">
      <w:bodyDiv w:val="1"/>
      <w:marLeft w:val="0"/>
      <w:marRight w:val="0"/>
      <w:marTop w:val="0"/>
      <w:marBottom w:val="0"/>
      <w:divBdr>
        <w:top w:val="none" w:sz="0" w:space="0" w:color="auto"/>
        <w:left w:val="none" w:sz="0" w:space="0" w:color="auto"/>
        <w:bottom w:val="none" w:sz="0" w:space="0" w:color="auto"/>
        <w:right w:val="none" w:sz="0" w:space="0" w:color="auto"/>
      </w:divBdr>
    </w:div>
    <w:div w:id="1723669637">
      <w:bodyDiv w:val="1"/>
      <w:marLeft w:val="0"/>
      <w:marRight w:val="0"/>
      <w:marTop w:val="0"/>
      <w:marBottom w:val="0"/>
      <w:divBdr>
        <w:top w:val="none" w:sz="0" w:space="0" w:color="auto"/>
        <w:left w:val="none" w:sz="0" w:space="0" w:color="auto"/>
        <w:bottom w:val="none" w:sz="0" w:space="0" w:color="auto"/>
        <w:right w:val="none" w:sz="0" w:space="0" w:color="auto"/>
      </w:divBdr>
      <w:divsChild>
        <w:div w:id="1090153375">
          <w:marLeft w:val="0"/>
          <w:marRight w:val="0"/>
          <w:marTop w:val="0"/>
          <w:marBottom w:val="0"/>
          <w:divBdr>
            <w:top w:val="none" w:sz="0" w:space="0" w:color="auto"/>
            <w:left w:val="none" w:sz="0" w:space="0" w:color="auto"/>
            <w:bottom w:val="none" w:sz="0" w:space="0" w:color="auto"/>
            <w:right w:val="none" w:sz="0" w:space="0" w:color="auto"/>
          </w:divBdr>
          <w:divsChild>
            <w:div w:id="2102027129">
              <w:marLeft w:val="0"/>
              <w:marRight w:val="0"/>
              <w:marTop w:val="0"/>
              <w:marBottom w:val="0"/>
              <w:divBdr>
                <w:top w:val="none" w:sz="0" w:space="0" w:color="auto"/>
                <w:left w:val="none" w:sz="0" w:space="0" w:color="auto"/>
                <w:bottom w:val="none" w:sz="0" w:space="0" w:color="auto"/>
                <w:right w:val="none" w:sz="0" w:space="0" w:color="auto"/>
              </w:divBdr>
              <w:divsChild>
                <w:div w:id="7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gibonsc</dc:creator>
  <cp:lastModifiedBy>gibonsc</cp:lastModifiedBy>
  <cp:revision>11</cp:revision>
  <cp:lastPrinted>2019-08-14T19:57:00Z</cp:lastPrinted>
  <dcterms:created xsi:type="dcterms:W3CDTF">2019-09-11T22:40:00Z</dcterms:created>
  <dcterms:modified xsi:type="dcterms:W3CDTF">2019-12-02T16:47:00Z</dcterms:modified>
</cp:coreProperties>
</file>