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9" w:rsidRPr="00702880" w:rsidRDefault="001041D9" w:rsidP="003C0AC9">
      <w:pPr>
        <w:rPr>
          <w:rFonts w:ascii="Arial" w:hAnsi="Arial" w:cs="Arial"/>
          <w:b/>
          <w:sz w:val="12"/>
        </w:rPr>
      </w:pPr>
    </w:p>
    <w:p w:rsidR="00C337D5" w:rsidRDefault="00C337D5" w:rsidP="002C63D9">
      <w:pPr>
        <w:spacing w:after="0" w:line="240" w:lineRule="auto"/>
        <w:rPr>
          <w:rFonts w:ascii="Arial" w:hAnsi="Arial" w:cs="Arial"/>
          <w:b/>
        </w:rPr>
      </w:pPr>
    </w:p>
    <w:p w:rsidR="002C63D9" w:rsidRPr="00702880" w:rsidRDefault="00DA5836" w:rsidP="002C63D9">
      <w:pPr>
        <w:spacing w:after="0" w:line="240" w:lineRule="auto"/>
        <w:rPr>
          <w:rFonts w:ascii="Arial" w:hAnsi="Arial" w:cs="Arial"/>
          <w:b/>
        </w:rPr>
      </w:pPr>
      <w:r w:rsidRPr="00702880">
        <w:rPr>
          <w:rFonts w:ascii="Arial" w:hAnsi="Arial" w:cs="Arial"/>
          <w:b/>
        </w:rPr>
        <w:t xml:space="preserve">TSCC </w:t>
      </w:r>
      <w:r w:rsidR="003050F4" w:rsidRPr="00702880">
        <w:rPr>
          <w:rFonts w:ascii="Arial" w:hAnsi="Arial" w:cs="Arial"/>
          <w:b/>
        </w:rPr>
        <w:t xml:space="preserve">Meeting </w:t>
      </w:r>
      <w:r w:rsidRPr="00702880">
        <w:rPr>
          <w:rFonts w:ascii="Arial" w:hAnsi="Arial" w:cs="Arial"/>
          <w:b/>
        </w:rPr>
        <w:t>Minutes</w:t>
      </w:r>
      <w:r w:rsidR="00013856">
        <w:rPr>
          <w:rFonts w:ascii="Arial" w:hAnsi="Arial" w:cs="Arial"/>
          <w:b/>
        </w:rPr>
        <w:t xml:space="preserve"> </w:t>
      </w:r>
    </w:p>
    <w:p w:rsidR="002C63D9" w:rsidRPr="00702880" w:rsidRDefault="000512F2" w:rsidP="002C63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18</w:t>
      </w:r>
      <w:r w:rsidR="002C63D9" w:rsidRPr="00702880">
        <w:rPr>
          <w:rFonts w:ascii="Arial" w:hAnsi="Arial" w:cs="Arial"/>
          <w:b/>
        </w:rPr>
        <w:t>, 201</w:t>
      </w:r>
      <w:r w:rsidR="0072419F" w:rsidRPr="00702880">
        <w:rPr>
          <w:rFonts w:ascii="Arial" w:hAnsi="Arial" w:cs="Arial"/>
          <w:b/>
        </w:rPr>
        <w:t>9</w:t>
      </w:r>
    </w:p>
    <w:p w:rsidR="002C63D9" w:rsidRPr="00702880" w:rsidRDefault="002C63D9" w:rsidP="00DA5836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TSCC Offices, 808 SW 3</w:t>
      </w:r>
      <w:r w:rsidRPr="00702880">
        <w:rPr>
          <w:rFonts w:ascii="Arial" w:hAnsi="Arial" w:cs="Arial"/>
          <w:vertAlign w:val="superscript"/>
        </w:rPr>
        <w:t>rd</w:t>
      </w:r>
      <w:r w:rsidRPr="00702880">
        <w:rPr>
          <w:rFonts w:ascii="Arial" w:hAnsi="Arial" w:cs="Arial"/>
        </w:rPr>
        <w:t xml:space="preserve"> Ave, Suite 540, Portland Oregon</w:t>
      </w:r>
    </w:p>
    <w:p w:rsidR="00DA5836" w:rsidRPr="00702880" w:rsidRDefault="00DA5836" w:rsidP="00DA5836">
      <w:pPr>
        <w:spacing w:after="0" w:line="240" w:lineRule="auto"/>
        <w:rPr>
          <w:rFonts w:ascii="Arial" w:hAnsi="Arial" w:cs="Arial"/>
        </w:rPr>
      </w:pPr>
    </w:p>
    <w:p w:rsidR="00E37EEB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Commissi</w:t>
      </w:r>
      <w:r w:rsidR="00931F08" w:rsidRPr="00702880">
        <w:rPr>
          <w:rFonts w:ascii="Arial" w:hAnsi="Arial" w:cs="Arial"/>
        </w:rPr>
        <w:t xml:space="preserve">oners Barringer, Norton, </w:t>
      </w:r>
      <w:r w:rsidR="00E37EEB">
        <w:rPr>
          <w:rFonts w:ascii="Arial" w:hAnsi="Arial" w:cs="Arial"/>
        </w:rPr>
        <w:t xml:space="preserve">Wubbold </w:t>
      </w:r>
      <w:r w:rsidR="00702880">
        <w:rPr>
          <w:rFonts w:ascii="Arial" w:hAnsi="Arial" w:cs="Arial"/>
        </w:rPr>
        <w:t xml:space="preserve">and </w:t>
      </w:r>
      <w:r w:rsidR="00931F08" w:rsidRPr="00702880">
        <w:rPr>
          <w:rFonts w:ascii="Arial" w:hAnsi="Arial" w:cs="Arial"/>
        </w:rPr>
        <w:t>Ofsink</w:t>
      </w:r>
      <w:r w:rsidR="002C2431" w:rsidRPr="00702880">
        <w:rPr>
          <w:rFonts w:ascii="Arial" w:hAnsi="Arial" w:cs="Arial"/>
        </w:rPr>
        <w:t xml:space="preserve"> </w:t>
      </w:r>
      <w:r w:rsidRPr="00702880">
        <w:rPr>
          <w:rFonts w:ascii="Arial" w:hAnsi="Arial" w:cs="Arial"/>
        </w:rPr>
        <w:t xml:space="preserve">were present as </w:t>
      </w:r>
      <w:r w:rsidR="006E6B8A" w:rsidRPr="00702880">
        <w:rPr>
          <w:rFonts w:ascii="Arial" w:hAnsi="Arial" w:cs="Arial"/>
        </w:rPr>
        <w:t>were</w:t>
      </w:r>
      <w:r w:rsidRPr="00702880">
        <w:rPr>
          <w:rFonts w:ascii="Arial" w:hAnsi="Arial" w:cs="Arial"/>
        </w:rPr>
        <w:t xml:space="preserve"> Executive Director Gibons</w:t>
      </w:r>
      <w:r w:rsidR="00011237" w:rsidRPr="00702880">
        <w:rPr>
          <w:rFonts w:ascii="Arial" w:hAnsi="Arial" w:cs="Arial"/>
        </w:rPr>
        <w:t xml:space="preserve"> and Budget Analyst Tunie </w:t>
      </w:r>
      <w:r w:rsidR="00331513" w:rsidRPr="00702880">
        <w:rPr>
          <w:rFonts w:ascii="Arial" w:hAnsi="Arial" w:cs="Arial"/>
        </w:rPr>
        <w:t>Betschart.</w:t>
      </w:r>
      <w:r w:rsidR="00E37EEB">
        <w:rPr>
          <w:rFonts w:ascii="Arial" w:hAnsi="Arial" w:cs="Arial"/>
        </w:rPr>
        <w:t xml:space="preserve"> </w:t>
      </w:r>
    </w:p>
    <w:p w:rsidR="00E37EEB" w:rsidRDefault="00E37EEB" w:rsidP="009E4421">
      <w:pPr>
        <w:rPr>
          <w:rFonts w:ascii="Arial" w:hAnsi="Arial" w:cs="Arial"/>
        </w:rPr>
      </w:pPr>
      <w:r>
        <w:rPr>
          <w:rFonts w:ascii="Arial" w:hAnsi="Arial" w:cs="Arial"/>
        </w:rPr>
        <w:t>Public: Harmony Quiroz (future commissioner)</w:t>
      </w:r>
    </w:p>
    <w:p w:rsidR="00965794" w:rsidRPr="00702880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Chair Barringer convened the</w:t>
      </w:r>
      <w:r w:rsidR="00810E1C" w:rsidRPr="00702880">
        <w:rPr>
          <w:rFonts w:ascii="Arial" w:hAnsi="Arial" w:cs="Arial"/>
        </w:rPr>
        <w:t xml:space="preserve"> TSCC Regular M</w:t>
      </w:r>
      <w:r w:rsidRPr="00702880">
        <w:rPr>
          <w:rFonts w:ascii="Arial" w:hAnsi="Arial" w:cs="Arial"/>
        </w:rPr>
        <w:t xml:space="preserve">eeting at </w:t>
      </w:r>
      <w:r w:rsidR="003F4E90" w:rsidRPr="00702880">
        <w:rPr>
          <w:rFonts w:ascii="Arial" w:hAnsi="Arial" w:cs="Arial"/>
        </w:rPr>
        <w:t>1</w:t>
      </w:r>
      <w:r w:rsidR="00931F08" w:rsidRPr="00702880">
        <w:rPr>
          <w:rFonts w:ascii="Arial" w:hAnsi="Arial" w:cs="Arial"/>
        </w:rPr>
        <w:t>2</w:t>
      </w:r>
      <w:r w:rsidR="00AA0FAD" w:rsidRPr="00702880">
        <w:rPr>
          <w:rFonts w:ascii="Arial" w:hAnsi="Arial" w:cs="Arial"/>
        </w:rPr>
        <w:t>:</w:t>
      </w:r>
      <w:r w:rsidR="00E37EEB">
        <w:rPr>
          <w:rFonts w:ascii="Arial" w:hAnsi="Arial" w:cs="Arial"/>
        </w:rPr>
        <w:t>08</w:t>
      </w:r>
    </w:p>
    <w:p w:rsidR="00E37EEB" w:rsidRPr="005D3CF4" w:rsidRDefault="00AA0FAD" w:rsidP="002E746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3CF4">
        <w:rPr>
          <w:rFonts w:ascii="Arial" w:hAnsi="Arial" w:cs="Arial"/>
          <w:color w:val="000000" w:themeColor="text1"/>
        </w:rPr>
        <w:t xml:space="preserve">Chair Barringer </w:t>
      </w:r>
      <w:r w:rsidR="00E37EEB" w:rsidRPr="005D3CF4">
        <w:rPr>
          <w:rFonts w:ascii="Arial" w:hAnsi="Arial" w:cs="Arial"/>
          <w:color w:val="000000" w:themeColor="text1"/>
        </w:rPr>
        <w:t>approved the November 26</w:t>
      </w:r>
      <w:r w:rsidR="00836424" w:rsidRPr="005D3CF4">
        <w:rPr>
          <w:rFonts w:ascii="Arial" w:hAnsi="Arial" w:cs="Arial"/>
          <w:color w:val="000000" w:themeColor="text1"/>
        </w:rPr>
        <w:t xml:space="preserve"> </w:t>
      </w:r>
      <w:r w:rsidR="00E37EEB" w:rsidRPr="005D3CF4">
        <w:rPr>
          <w:rFonts w:ascii="Arial" w:hAnsi="Arial" w:cs="Arial"/>
          <w:color w:val="000000" w:themeColor="text1"/>
        </w:rPr>
        <w:t>meeting minutes with on</w:t>
      </w:r>
      <w:r w:rsidR="005D3CF4" w:rsidRPr="005D3CF4">
        <w:rPr>
          <w:rFonts w:ascii="Arial" w:hAnsi="Arial" w:cs="Arial"/>
          <w:color w:val="000000" w:themeColor="text1"/>
        </w:rPr>
        <w:t>e</w:t>
      </w:r>
      <w:r w:rsidR="00E37EEB" w:rsidRPr="005D3CF4">
        <w:rPr>
          <w:rFonts w:ascii="Arial" w:hAnsi="Arial" w:cs="Arial"/>
          <w:color w:val="000000" w:themeColor="text1"/>
        </w:rPr>
        <w:t xml:space="preserve"> correction.</w:t>
      </w:r>
    </w:p>
    <w:p w:rsidR="00AA0FAD" w:rsidRPr="001A230C" w:rsidRDefault="00931F08" w:rsidP="00DF721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230C">
        <w:rPr>
          <w:rFonts w:ascii="Arial" w:hAnsi="Arial" w:cs="Arial"/>
          <w:color w:val="000000" w:themeColor="text1"/>
        </w:rPr>
        <w:t>Craig Gibons review</w:t>
      </w:r>
      <w:r w:rsidR="005D3CF4">
        <w:rPr>
          <w:rFonts w:ascii="Arial" w:hAnsi="Arial" w:cs="Arial"/>
          <w:color w:val="000000" w:themeColor="text1"/>
        </w:rPr>
        <w:t>ed</w:t>
      </w:r>
      <w:r w:rsidRPr="001A230C">
        <w:rPr>
          <w:rFonts w:ascii="Arial" w:hAnsi="Arial" w:cs="Arial"/>
          <w:color w:val="000000" w:themeColor="text1"/>
        </w:rPr>
        <w:t xml:space="preserve"> the TSCC</w:t>
      </w:r>
      <w:r w:rsidR="00AA0FAD" w:rsidRPr="001A230C">
        <w:rPr>
          <w:rFonts w:ascii="Arial" w:hAnsi="Arial" w:cs="Arial"/>
          <w:color w:val="000000" w:themeColor="text1"/>
        </w:rPr>
        <w:t xml:space="preserve"> </w:t>
      </w:r>
      <w:r w:rsidR="00981BE8" w:rsidRPr="001A230C">
        <w:rPr>
          <w:rFonts w:ascii="Arial" w:hAnsi="Arial" w:cs="Arial"/>
          <w:color w:val="000000" w:themeColor="text1"/>
        </w:rPr>
        <w:t xml:space="preserve">FY19 Budget. </w:t>
      </w:r>
    </w:p>
    <w:p w:rsidR="00355B51" w:rsidRPr="00355B51" w:rsidRDefault="00A110CD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5B51">
        <w:rPr>
          <w:rFonts w:ascii="Arial" w:hAnsi="Arial" w:cs="Arial"/>
        </w:rPr>
        <w:t xml:space="preserve">Mr. Gibons briefly explained </w:t>
      </w:r>
      <w:r w:rsidR="00355B51" w:rsidRPr="00355B51">
        <w:rPr>
          <w:rFonts w:ascii="Arial" w:hAnsi="Arial" w:cs="Arial"/>
        </w:rPr>
        <w:t xml:space="preserve">the correction sheet reflects the internal service charges for telephone and data processing. This was included when </w:t>
      </w:r>
      <w:r w:rsidR="00423DFB">
        <w:rPr>
          <w:rFonts w:ascii="Arial" w:hAnsi="Arial" w:cs="Arial"/>
        </w:rPr>
        <w:t xml:space="preserve">the commissioners </w:t>
      </w:r>
      <w:r w:rsidR="00355B51" w:rsidRPr="00355B51">
        <w:rPr>
          <w:rFonts w:ascii="Arial" w:hAnsi="Arial" w:cs="Arial"/>
        </w:rPr>
        <w:t>approved</w:t>
      </w:r>
      <w:r w:rsidR="00423DFB">
        <w:rPr>
          <w:rFonts w:ascii="Arial" w:hAnsi="Arial" w:cs="Arial"/>
        </w:rPr>
        <w:t xml:space="preserve"> the In-House budget, but has, inadvertently, not been included in the monthly </w:t>
      </w:r>
      <w:r w:rsidR="00355B51" w:rsidRPr="00355B51">
        <w:rPr>
          <w:rFonts w:ascii="Arial" w:hAnsi="Arial" w:cs="Arial"/>
        </w:rPr>
        <w:t xml:space="preserve">Budget Analysis. </w:t>
      </w:r>
    </w:p>
    <w:p w:rsidR="00BD298F" w:rsidRDefault="00702880" w:rsidP="00A110C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attached </w:t>
      </w:r>
      <w:r w:rsidR="00E37EEB">
        <w:rPr>
          <w:rFonts w:ascii="Arial" w:hAnsi="Arial" w:cs="Arial"/>
          <w:color w:val="000000" w:themeColor="text1"/>
        </w:rPr>
        <w:t xml:space="preserve">November </w:t>
      </w:r>
      <w:r>
        <w:rPr>
          <w:rFonts w:ascii="Arial" w:hAnsi="Arial" w:cs="Arial"/>
          <w:color w:val="000000" w:themeColor="text1"/>
        </w:rPr>
        <w:t xml:space="preserve">Budget Report </w:t>
      </w:r>
      <w:r w:rsidR="00423DFB">
        <w:rPr>
          <w:rFonts w:ascii="Arial" w:hAnsi="Arial" w:cs="Arial"/>
          <w:color w:val="000000" w:themeColor="text1"/>
        </w:rPr>
        <w:t xml:space="preserve">Update 12-17-19 which corrects </w:t>
      </w:r>
      <w:r w:rsidR="00E37EEB">
        <w:rPr>
          <w:rFonts w:ascii="Arial" w:hAnsi="Arial" w:cs="Arial"/>
          <w:color w:val="000000" w:themeColor="text1"/>
        </w:rPr>
        <w:t xml:space="preserve">the in-house budget. </w:t>
      </w:r>
    </w:p>
    <w:p w:rsidR="00355B51" w:rsidRPr="00511BF7" w:rsidRDefault="00355B51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There was discussion of what must be done in the event that the in-house budget approved </w:t>
      </w:r>
      <w:r w:rsidR="00265633">
        <w:rPr>
          <w:rFonts w:ascii="Arial" w:hAnsi="Arial" w:cs="Arial"/>
          <w:color w:val="000000" w:themeColor="text1"/>
        </w:rPr>
        <w:t xml:space="preserve">in April </w:t>
      </w:r>
      <w:r>
        <w:rPr>
          <w:rFonts w:ascii="Arial" w:hAnsi="Arial" w:cs="Arial"/>
          <w:color w:val="000000" w:themeColor="text1"/>
        </w:rPr>
        <w:t xml:space="preserve">by the commissioners does not reflect current expenditures. It was decided that TSCC must adjust the budget </w:t>
      </w:r>
      <w:r w:rsidR="00265633">
        <w:rPr>
          <w:rFonts w:ascii="Arial" w:hAnsi="Arial" w:cs="Arial"/>
          <w:color w:val="000000" w:themeColor="text1"/>
        </w:rPr>
        <w:t xml:space="preserve">using an amendment/supplemental budget </w:t>
      </w:r>
      <w:r>
        <w:rPr>
          <w:rFonts w:ascii="Arial" w:hAnsi="Arial" w:cs="Arial"/>
          <w:color w:val="000000" w:themeColor="text1"/>
        </w:rPr>
        <w:t xml:space="preserve">to reflect actual spending even though the </w:t>
      </w:r>
      <w:r w:rsidRPr="00511BF7">
        <w:rPr>
          <w:rFonts w:ascii="Arial" w:hAnsi="Arial" w:cs="Arial"/>
        </w:rPr>
        <w:t>county</w:t>
      </w:r>
      <w:r w:rsidR="00511BF7">
        <w:rPr>
          <w:rFonts w:ascii="Arial" w:hAnsi="Arial" w:cs="Arial"/>
        </w:rPr>
        <w:t xml:space="preserve"> TSCC budget does not stand alone but within the General Fund. TSCC does have a new “legal limit” of $426,000. </w:t>
      </w:r>
      <w:r w:rsidRPr="00511BF7">
        <w:rPr>
          <w:rFonts w:ascii="Arial" w:hAnsi="Arial" w:cs="Arial"/>
        </w:rPr>
        <w:t xml:space="preserve"> </w:t>
      </w:r>
      <w:r w:rsidRPr="00511BF7">
        <w:rPr>
          <w:rFonts w:ascii="Arial" w:hAnsi="Arial" w:cs="Arial"/>
          <w:color w:val="FF0000"/>
        </w:rPr>
        <w:t xml:space="preserve"> </w:t>
      </w:r>
    </w:p>
    <w:p w:rsidR="00265633" w:rsidRDefault="00265633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1BF7">
        <w:rPr>
          <w:rFonts w:ascii="Arial" w:hAnsi="Arial" w:cs="Arial"/>
        </w:rPr>
        <w:t xml:space="preserve">Commissioners will continue to monitor the budget as there are costs associated with the hiring of the new Executive Director that will change the expenditures to some degree. </w:t>
      </w:r>
    </w:p>
    <w:p w:rsidR="00511BF7" w:rsidRDefault="00511BF7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we develop a written procedure for the budget process. </w:t>
      </w:r>
    </w:p>
    <w:p w:rsidR="006E6B8A" w:rsidRPr="00702880" w:rsidRDefault="00E37EEB" w:rsidP="0088045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Revisions to the Executive D</w:t>
      </w:r>
      <w:r w:rsidR="00423DFB">
        <w:rPr>
          <w:rFonts w:ascii="Arial" w:hAnsi="Arial" w:cs="Arial"/>
          <w:color w:val="000000" w:themeColor="text1"/>
        </w:rPr>
        <w:t>irector Recruitment schedule w</w:t>
      </w:r>
      <w:r w:rsidR="00027474">
        <w:rPr>
          <w:rFonts w:ascii="Arial" w:hAnsi="Arial" w:cs="Arial"/>
          <w:color w:val="000000" w:themeColor="text1"/>
        </w:rPr>
        <w:t>e</w:t>
      </w:r>
      <w:r w:rsidR="00423DFB">
        <w:rPr>
          <w:rFonts w:ascii="Arial" w:hAnsi="Arial" w:cs="Arial"/>
          <w:color w:val="000000" w:themeColor="text1"/>
        </w:rPr>
        <w:t>re</w:t>
      </w:r>
      <w:r>
        <w:rPr>
          <w:rFonts w:ascii="Arial" w:hAnsi="Arial" w:cs="Arial"/>
          <w:color w:val="000000" w:themeColor="text1"/>
        </w:rPr>
        <w:t xml:space="preserve"> discussed. </w:t>
      </w:r>
    </w:p>
    <w:p w:rsidR="00DE743C" w:rsidRPr="00DA3BFD" w:rsidRDefault="00355B51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DA3BFD">
        <w:rPr>
          <w:rFonts w:ascii="Arial" w:hAnsi="Arial" w:cs="Arial"/>
        </w:rPr>
        <w:t xml:space="preserve">Mr. Gibons said he had met with the Multnomah </w:t>
      </w:r>
      <w:r w:rsidR="00111D17" w:rsidRPr="00DA3BFD">
        <w:rPr>
          <w:rFonts w:ascii="Arial" w:hAnsi="Arial" w:cs="Arial"/>
        </w:rPr>
        <w:t>County</w:t>
      </w:r>
      <w:r w:rsidRPr="00DA3BFD">
        <w:rPr>
          <w:rFonts w:ascii="Arial" w:hAnsi="Arial" w:cs="Arial"/>
        </w:rPr>
        <w:t xml:space="preserve"> </w:t>
      </w:r>
      <w:r w:rsidR="00511BF7" w:rsidRPr="00DA3BFD">
        <w:rPr>
          <w:rFonts w:ascii="Arial" w:hAnsi="Arial" w:cs="Arial"/>
        </w:rPr>
        <w:t xml:space="preserve">HR staff </w:t>
      </w:r>
      <w:r w:rsidRPr="00DA3BFD">
        <w:rPr>
          <w:rFonts w:ascii="Arial" w:hAnsi="Arial" w:cs="Arial"/>
        </w:rPr>
        <w:t xml:space="preserve">and they are very supportive in assisting with the recruitment of the new Executive Director. They </w:t>
      </w:r>
      <w:r w:rsidR="00511BF7" w:rsidRPr="00DA3BFD">
        <w:rPr>
          <w:rFonts w:ascii="Arial" w:hAnsi="Arial" w:cs="Arial"/>
        </w:rPr>
        <w:t>will review the job announcement and description. They will receive the applications and forward to TSCC. They are comfortable wit</w:t>
      </w:r>
      <w:r w:rsidR="00423DFB">
        <w:rPr>
          <w:rFonts w:ascii="Arial" w:hAnsi="Arial" w:cs="Arial"/>
        </w:rPr>
        <w:t>h</w:t>
      </w:r>
      <w:r w:rsidR="00511BF7" w:rsidRPr="00DA3BFD">
        <w:rPr>
          <w:rFonts w:ascii="Arial" w:hAnsi="Arial" w:cs="Arial"/>
        </w:rPr>
        <w:t xml:space="preserve"> the schedule. </w:t>
      </w:r>
      <w:r w:rsidR="00423DFB">
        <w:rPr>
          <w:rFonts w:ascii="Arial" w:hAnsi="Arial" w:cs="Arial"/>
        </w:rPr>
        <w:t xml:space="preserve">County Budget Director </w:t>
      </w:r>
      <w:r w:rsidR="00511BF7" w:rsidRPr="00DA3BFD">
        <w:rPr>
          <w:rFonts w:ascii="Arial" w:hAnsi="Arial" w:cs="Arial"/>
        </w:rPr>
        <w:t xml:space="preserve">Mike </w:t>
      </w:r>
      <w:proofErr w:type="spellStart"/>
      <w:r w:rsidR="00511BF7" w:rsidRPr="00DA3BFD">
        <w:rPr>
          <w:rFonts w:ascii="Arial" w:hAnsi="Arial" w:cs="Arial"/>
        </w:rPr>
        <w:t>Jaspin</w:t>
      </w:r>
      <w:proofErr w:type="spellEnd"/>
      <w:r w:rsidR="00511BF7" w:rsidRPr="00DA3BFD">
        <w:rPr>
          <w:rFonts w:ascii="Arial" w:hAnsi="Arial" w:cs="Arial"/>
        </w:rPr>
        <w:t xml:space="preserve"> offered to find someone to serve on the screening panel. The</w:t>
      </w:r>
      <w:r w:rsidR="00423DFB">
        <w:rPr>
          <w:rFonts w:ascii="Arial" w:hAnsi="Arial" w:cs="Arial"/>
        </w:rPr>
        <w:t xml:space="preserve"> County wants </w:t>
      </w:r>
      <w:r w:rsidR="00511BF7" w:rsidRPr="00DA3BFD">
        <w:rPr>
          <w:rFonts w:ascii="Arial" w:hAnsi="Arial" w:cs="Arial"/>
        </w:rPr>
        <w:t>to make sure the</w:t>
      </w:r>
      <w:r w:rsidR="00DA3BFD" w:rsidRPr="00DA3BFD">
        <w:rPr>
          <w:rFonts w:ascii="Arial" w:hAnsi="Arial" w:cs="Arial"/>
        </w:rPr>
        <w:t xml:space="preserve"> panel and the applicants</w:t>
      </w:r>
      <w:r w:rsidR="00511BF7" w:rsidRPr="00DA3BFD">
        <w:rPr>
          <w:rFonts w:ascii="Arial" w:hAnsi="Arial" w:cs="Arial"/>
        </w:rPr>
        <w:t xml:space="preserve"> </w:t>
      </w:r>
      <w:r w:rsidR="00DA3BFD" w:rsidRPr="00DA3BFD">
        <w:rPr>
          <w:rFonts w:ascii="Arial" w:hAnsi="Arial" w:cs="Arial"/>
        </w:rPr>
        <w:t xml:space="preserve">are very </w:t>
      </w:r>
      <w:r w:rsidR="00DA3BFD" w:rsidRPr="006F37B2">
        <w:rPr>
          <w:rFonts w:ascii="Arial" w:hAnsi="Arial" w:cs="Arial"/>
        </w:rPr>
        <w:t xml:space="preserve">diverse. </w:t>
      </w:r>
    </w:p>
    <w:p w:rsidR="00DA3BFD" w:rsidRDefault="00DA3BFD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The Commissioners</w:t>
      </w:r>
      <w:r w:rsidR="00423DFB">
        <w:rPr>
          <w:rFonts w:ascii="Arial" w:hAnsi="Arial" w:cs="Arial"/>
        </w:rPr>
        <w:t xml:space="preserve"> discussed their</w:t>
      </w:r>
      <w:r>
        <w:rPr>
          <w:rFonts w:ascii="Arial" w:hAnsi="Arial" w:cs="Arial"/>
        </w:rPr>
        <w:t xml:space="preserve"> involvement with the recruitment process</w:t>
      </w:r>
      <w:r w:rsidRPr="00DA3BF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Commissioner Wubbold stated he would not be available to participate in a sub-committee but will be happy to participate in the final interviews. </w:t>
      </w:r>
    </w:p>
    <w:p w:rsidR="006F37B2" w:rsidRDefault="006F37B2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Ensuring qualified applicants were not disqualified prior to the Commissioners knowledge of the candidate was discussed</w:t>
      </w:r>
      <w:r w:rsidRPr="006F37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Having written guidelines will be very important. </w:t>
      </w:r>
    </w:p>
    <w:p w:rsidR="00DA3BFD" w:rsidRDefault="00423DFB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Commissioners agreed that </w:t>
      </w:r>
      <w:r w:rsidR="00A76300">
        <w:rPr>
          <w:rFonts w:ascii="Arial" w:hAnsi="Arial" w:cs="Arial"/>
          <w:color w:val="000000" w:themeColor="text1"/>
        </w:rPr>
        <w:t>Chair Barringer or Vice Chair Ofsink should be the one</w:t>
      </w:r>
      <w:r>
        <w:rPr>
          <w:rFonts w:ascii="Arial" w:hAnsi="Arial" w:cs="Arial"/>
          <w:color w:val="000000" w:themeColor="text1"/>
        </w:rPr>
        <w:t>s</w:t>
      </w:r>
      <w:r w:rsidR="00A76300">
        <w:rPr>
          <w:rFonts w:ascii="Arial" w:hAnsi="Arial" w:cs="Arial"/>
          <w:color w:val="000000" w:themeColor="text1"/>
        </w:rPr>
        <w:t xml:space="preserve"> </w:t>
      </w:r>
      <w:r w:rsidR="006F58EE">
        <w:rPr>
          <w:rFonts w:ascii="Arial" w:hAnsi="Arial" w:cs="Arial"/>
          <w:color w:val="000000" w:themeColor="text1"/>
        </w:rPr>
        <w:t>involved in the final negotiations since the Executive Director will be working for the commissioners</w:t>
      </w:r>
    </w:p>
    <w:p w:rsidR="006F58EE" w:rsidRPr="00C337D5" w:rsidRDefault="00E37EEB" w:rsidP="007B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The outcome and report </w:t>
      </w:r>
      <w:r w:rsidR="000F2C66" w:rsidRPr="00C337D5">
        <w:rPr>
          <w:rFonts w:ascii="Arial" w:hAnsi="Arial" w:cs="Arial"/>
        </w:rPr>
        <w:t>presented</w:t>
      </w:r>
      <w:r w:rsidRPr="00C337D5">
        <w:rPr>
          <w:rFonts w:ascii="Arial" w:hAnsi="Arial" w:cs="Arial"/>
        </w:rPr>
        <w:t xml:space="preserve"> by </w:t>
      </w:r>
      <w:r w:rsidR="000F2C66" w:rsidRPr="00C337D5">
        <w:rPr>
          <w:rFonts w:ascii="Arial" w:hAnsi="Arial" w:cs="Arial"/>
        </w:rPr>
        <w:t xml:space="preserve">Mr. Bruner from </w:t>
      </w:r>
      <w:r w:rsidRPr="00C337D5">
        <w:rPr>
          <w:rFonts w:ascii="Arial" w:hAnsi="Arial" w:cs="Arial"/>
        </w:rPr>
        <w:t xml:space="preserve">of the Strategic Planning Process workshop conducted in November were discussed. </w:t>
      </w:r>
    </w:p>
    <w:p w:rsidR="006F58EE" w:rsidRPr="00C337D5" w:rsidRDefault="00C54166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>Mr.</w:t>
      </w:r>
      <w:r w:rsidR="006F58EE" w:rsidRPr="00C337D5">
        <w:rPr>
          <w:rFonts w:ascii="Arial" w:hAnsi="Arial" w:cs="Arial"/>
        </w:rPr>
        <w:t xml:space="preserve"> Gibons distributed a flow chart displaying options to move forward as well as means necessary to do so and the tools needed to accomplish this. </w:t>
      </w:r>
      <w:r w:rsidR="0019552F" w:rsidRPr="00C337D5">
        <w:rPr>
          <w:rFonts w:ascii="Arial" w:hAnsi="Arial" w:cs="Arial"/>
        </w:rPr>
        <w:t xml:space="preserve">One comment made cornering this flow chart was to remove/table the bottom bucket “Obtain directive authority from legislature”. This can be discussed at a later date. </w:t>
      </w:r>
    </w:p>
    <w:p w:rsidR="0019552F" w:rsidRPr="00C337D5" w:rsidRDefault="0019552F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The focal point of this exercise is to create interest in the practices such as public hearings/meetings that </w:t>
      </w:r>
      <w:r w:rsidR="00F21B3A" w:rsidRPr="00C337D5">
        <w:rPr>
          <w:rFonts w:ascii="Arial" w:hAnsi="Arial" w:cs="Arial"/>
        </w:rPr>
        <w:t xml:space="preserve">TSCC is engaged in as well as make available information about the benefits TSCC provides to both the jurisdictions and the public. </w:t>
      </w:r>
    </w:p>
    <w:p w:rsidR="00F21B3A" w:rsidRPr="00C337D5" w:rsidRDefault="00F21B3A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Developing a service of value to the districts that they desire and could get from us as members would be very advantageous in acquiring districts back under TSCC‘s jurisdiction. </w:t>
      </w:r>
    </w:p>
    <w:p w:rsidR="007B3471" w:rsidRPr="00ED0C48" w:rsidRDefault="00ED0C48" w:rsidP="00ED0C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5B51" w:rsidRPr="00ED0C48">
        <w:rPr>
          <w:rFonts w:ascii="Arial" w:hAnsi="Arial" w:cs="Arial"/>
        </w:rPr>
        <w:t>he commissioners</w:t>
      </w:r>
      <w:r w:rsidRPr="00ED0C48">
        <w:rPr>
          <w:rFonts w:ascii="Arial" w:hAnsi="Arial" w:cs="Arial"/>
        </w:rPr>
        <w:t xml:space="preserve"> determined that they</w:t>
      </w:r>
      <w:r w:rsidR="00355B51" w:rsidRPr="00ED0C48">
        <w:rPr>
          <w:rFonts w:ascii="Arial" w:hAnsi="Arial" w:cs="Arial"/>
        </w:rPr>
        <w:t xml:space="preserve"> need to move forward planning </w:t>
      </w:r>
      <w:r w:rsidR="001E1571" w:rsidRPr="00ED0C48">
        <w:rPr>
          <w:rFonts w:ascii="Arial" w:hAnsi="Arial" w:cs="Arial"/>
        </w:rPr>
        <w:t>the changes</w:t>
      </w:r>
      <w:r w:rsidR="00355B51" w:rsidRPr="00ED0C48">
        <w:rPr>
          <w:rFonts w:ascii="Arial" w:hAnsi="Arial" w:cs="Arial"/>
        </w:rPr>
        <w:t>.</w:t>
      </w:r>
    </w:p>
    <w:p w:rsidR="00111D17" w:rsidRPr="001E1571" w:rsidRDefault="00111D17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Commissioner Norton will draft a letter to elected officials to be used to encourage participation</w:t>
      </w:r>
      <w:r w:rsidR="00C54166" w:rsidRPr="001E1571">
        <w:rPr>
          <w:rFonts w:ascii="Arial" w:hAnsi="Arial" w:cs="Arial"/>
        </w:rPr>
        <w:t xml:space="preserve"> in the hearing process</w:t>
      </w:r>
      <w:r w:rsidR="00F21B3A" w:rsidRPr="001E1571">
        <w:rPr>
          <w:rFonts w:ascii="Arial" w:hAnsi="Arial" w:cs="Arial"/>
        </w:rPr>
        <w:t xml:space="preserve"> plugging in the “one liners </w:t>
      </w:r>
      <w:r w:rsidR="001E1571" w:rsidRPr="001E1571">
        <w:rPr>
          <w:rFonts w:ascii="Arial" w:hAnsi="Arial" w:cs="Arial"/>
        </w:rPr>
        <w:t>from mission statements</w:t>
      </w:r>
      <w:r w:rsidR="00F21B3A" w:rsidRPr="001E1571">
        <w:rPr>
          <w:rFonts w:ascii="Arial" w:hAnsi="Arial" w:cs="Arial"/>
        </w:rPr>
        <w:t xml:space="preserve">. </w:t>
      </w:r>
      <w:r w:rsidR="00C54166" w:rsidRPr="001E1571">
        <w:rPr>
          <w:rFonts w:ascii="Arial" w:hAnsi="Arial" w:cs="Arial"/>
        </w:rPr>
        <w:t xml:space="preserve">It may include goals for the </w:t>
      </w:r>
      <w:r w:rsidRPr="001E1571">
        <w:rPr>
          <w:rFonts w:ascii="Arial" w:hAnsi="Arial" w:cs="Arial"/>
        </w:rPr>
        <w:t>hearing process</w:t>
      </w:r>
    </w:p>
    <w:p w:rsidR="00111D17" w:rsidRPr="001E1571" w:rsidRDefault="00111D17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</w:t>
      </w:r>
      <w:r w:rsidR="00D81A8F" w:rsidRPr="001E1571">
        <w:rPr>
          <w:rFonts w:ascii="Arial" w:hAnsi="Arial" w:cs="Arial"/>
        </w:rPr>
        <w:t>issioner Wubbold will d</w:t>
      </w:r>
      <w:r w:rsidR="005E2297">
        <w:rPr>
          <w:rFonts w:ascii="Arial" w:hAnsi="Arial" w:cs="Arial"/>
        </w:rPr>
        <w:t>raft</w:t>
      </w:r>
      <w:r w:rsidR="00D81A8F" w:rsidRPr="001E1571">
        <w:rPr>
          <w:rFonts w:ascii="Arial" w:hAnsi="Arial" w:cs="Arial"/>
        </w:rPr>
        <w:t xml:space="preserve"> an Op-Ed Article</w:t>
      </w:r>
    </w:p>
    <w:p w:rsidR="00D81A8F" w:rsidRPr="001E1571" w:rsidRDefault="00F21B3A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 xml:space="preserve">Ms. Quiroz will work toward completing a one page </w:t>
      </w:r>
      <w:r w:rsidR="001E1571" w:rsidRPr="001E1571">
        <w:rPr>
          <w:rFonts w:ascii="Arial" w:hAnsi="Arial" w:cs="Arial"/>
        </w:rPr>
        <w:t>informative document describing</w:t>
      </w:r>
      <w:r w:rsidR="001E1571">
        <w:rPr>
          <w:rFonts w:ascii="Arial" w:hAnsi="Arial" w:cs="Arial"/>
        </w:rPr>
        <w:t xml:space="preserve"> the </w:t>
      </w:r>
      <w:r w:rsidR="001E1571" w:rsidRPr="001E1571">
        <w:rPr>
          <w:rFonts w:ascii="Arial" w:hAnsi="Arial" w:cs="Arial"/>
        </w:rPr>
        <w:t xml:space="preserve">TSCC </w:t>
      </w:r>
      <w:r w:rsidR="001E1571">
        <w:rPr>
          <w:rFonts w:ascii="Arial" w:hAnsi="Arial" w:cs="Arial"/>
        </w:rPr>
        <w:t xml:space="preserve">organization </w:t>
      </w:r>
      <w:r w:rsidR="001E1571" w:rsidRPr="001E1571">
        <w:rPr>
          <w:rFonts w:ascii="Arial" w:hAnsi="Arial" w:cs="Arial"/>
        </w:rPr>
        <w:t xml:space="preserve">written from the “public” perception. </w:t>
      </w:r>
    </w:p>
    <w:p w:rsidR="001E1571" w:rsidRDefault="001E1571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Commissioner Ofsink will work on the mission statement/tag line/elevator pitch</w:t>
      </w:r>
      <w:r>
        <w:rPr>
          <w:rFonts w:ascii="Arial" w:hAnsi="Arial" w:cs="Arial"/>
        </w:rPr>
        <w:t xml:space="preserve"> or paragraph</w:t>
      </w:r>
      <w:r w:rsidRPr="001E1571">
        <w:rPr>
          <w:rFonts w:ascii="Arial" w:hAnsi="Arial" w:cs="Arial"/>
        </w:rPr>
        <w:t>.</w:t>
      </w:r>
    </w:p>
    <w:p w:rsidR="001E1571" w:rsidRPr="001E1571" w:rsidRDefault="001E1571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may be necessary to hire a graphic person to incorporate the new logos, tag lines and letterheads. Ms. Quiroz will contact a friend for an approximate cost on such services. </w:t>
      </w:r>
    </w:p>
    <w:p w:rsidR="000F2C66" w:rsidRDefault="000F2C66" w:rsidP="007B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 xml:space="preserve">The Annual Report </w:t>
      </w:r>
      <w:r>
        <w:rPr>
          <w:rFonts w:ascii="Arial" w:hAnsi="Arial" w:cs="Arial"/>
        </w:rPr>
        <w:t xml:space="preserve">draft was discussed. The front section will be revised to eliminate the documentation on the demand letter. There will be language to cover the action but not the documentation. </w:t>
      </w:r>
    </w:p>
    <w:p w:rsidR="00FB5C08" w:rsidRDefault="00B84DB0" w:rsidP="005E67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62FF">
        <w:rPr>
          <w:rFonts w:ascii="Arial" w:hAnsi="Arial" w:cs="Arial"/>
        </w:rPr>
        <w:t xml:space="preserve">Next </w:t>
      </w:r>
      <w:r w:rsidR="00FB5C08">
        <w:rPr>
          <w:rFonts w:ascii="Arial" w:hAnsi="Arial" w:cs="Arial"/>
        </w:rPr>
        <w:t xml:space="preserve">TSCC meeting will be in </w:t>
      </w:r>
      <w:r w:rsidR="000F2C66">
        <w:rPr>
          <w:rFonts w:ascii="Arial" w:hAnsi="Arial" w:cs="Arial"/>
        </w:rPr>
        <w:t>January</w:t>
      </w:r>
      <w:r w:rsidR="00FB5C08">
        <w:rPr>
          <w:rFonts w:ascii="Arial" w:hAnsi="Arial" w:cs="Arial"/>
        </w:rPr>
        <w:t xml:space="preserve">. Date, time and place to be determined. </w:t>
      </w:r>
    </w:p>
    <w:p w:rsidR="00DA5836" w:rsidRPr="00702880" w:rsidRDefault="00DA5836" w:rsidP="00777C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 xml:space="preserve">Chair Barringer </w:t>
      </w:r>
      <w:r w:rsidR="00067584" w:rsidRPr="00702880">
        <w:rPr>
          <w:rFonts w:ascii="Arial" w:hAnsi="Arial" w:cs="Arial"/>
        </w:rPr>
        <w:t xml:space="preserve">adjourned </w:t>
      </w:r>
      <w:r w:rsidR="00500551" w:rsidRPr="00702880">
        <w:rPr>
          <w:rFonts w:ascii="Arial" w:hAnsi="Arial" w:cs="Arial"/>
        </w:rPr>
        <w:t>the meeting at 1:</w:t>
      </w:r>
      <w:r w:rsidR="000F2C66">
        <w:rPr>
          <w:rFonts w:ascii="Arial" w:hAnsi="Arial" w:cs="Arial"/>
        </w:rPr>
        <w:t>50</w:t>
      </w:r>
      <w:r w:rsidRPr="00702880">
        <w:rPr>
          <w:rFonts w:ascii="Arial" w:hAnsi="Arial" w:cs="Arial"/>
        </w:rPr>
        <w:t xml:space="preserve"> </w:t>
      </w:r>
      <w:r w:rsidR="00067584" w:rsidRPr="00702880">
        <w:rPr>
          <w:rFonts w:ascii="Arial" w:hAnsi="Arial" w:cs="Arial"/>
        </w:rPr>
        <w:t>pm</w:t>
      </w:r>
      <w:r w:rsidRPr="00702880">
        <w:rPr>
          <w:rFonts w:ascii="Arial" w:hAnsi="Arial" w:cs="Arial"/>
        </w:rPr>
        <w:t xml:space="preserve">. </w:t>
      </w:r>
    </w:p>
    <w:p w:rsidR="00174064" w:rsidRPr="00702880" w:rsidRDefault="00174064" w:rsidP="002E1DAE">
      <w:pPr>
        <w:spacing w:after="0" w:line="240" w:lineRule="auto"/>
        <w:rPr>
          <w:rFonts w:ascii="Arial" w:hAnsi="Arial" w:cs="Arial"/>
        </w:rPr>
      </w:pPr>
    </w:p>
    <w:p w:rsidR="00981BE8" w:rsidRPr="00702880" w:rsidRDefault="00981BE8" w:rsidP="002E1DAE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Attachments:</w:t>
      </w:r>
    </w:p>
    <w:p w:rsidR="00981BE8" w:rsidRDefault="00981BE8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TSCC Budget Analysis FY19</w:t>
      </w:r>
      <w:r w:rsidR="006F58EE">
        <w:rPr>
          <w:rFonts w:ascii="Arial" w:hAnsi="Arial" w:cs="Arial"/>
        </w:rPr>
        <w:t xml:space="preserve"> (Updated 12-17-19)</w:t>
      </w:r>
    </w:p>
    <w:p w:rsidR="006F58EE" w:rsidRDefault="006F58EE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Flow chart</w:t>
      </w:r>
    </w:p>
    <w:p w:rsidR="009D6A95" w:rsidRPr="00702880" w:rsidRDefault="009D6A95" w:rsidP="00111D17">
      <w:pPr>
        <w:spacing w:after="0" w:line="240" w:lineRule="auto"/>
        <w:ind w:left="360"/>
        <w:rPr>
          <w:rFonts w:ascii="Arial" w:hAnsi="Arial" w:cs="Arial"/>
        </w:rPr>
      </w:pPr>
    </w:p>
    <w:p w:rsidR="00013856" w:rsidRDefault="00DA5836" w:rsidP="00605174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Craig Gibons, Executive Director</w:t>
      </w:r>
    </w:p>
    <w:p w:rsidR="00A31DD0" w:rsidRDefault="00A31DD0" w:rsidP="00A31DD0">
      <w:pPr>
        <w:spacing w:after="0" w:line="240" w:lineRule="auto"/>
        <w:rPr>
          <w:rFonts w:ascii="Arial" w:hAnsi="Arial" w:cs="Arial"/>
          <w:b/>
          <w:color w:val="FF0000"/>
        </w:rPr>
      </w:pPr>
      <w:r w:rsidRPr="00013856">
        <w:rPr>
          <w:rFonts w:ascii="Arial" w:hAnsi="Arial" w:cs="Arial"/>
          <w:b/>
          <w:color w:val="FF0000"/>
        </w:rPr>
        <w:t xml:space="preserve">Approved by Commission at its </w:t>
      </w:r>
      <w:r w:rsidR="00B95933">
        <w:rPr>
          <w:rFonts w:ascii="Arial" w:hAnsi="Arial" w:cs="Arial"/>
          <w:b/>
          <w:color w:val="FF0000"/>
        </w:rPr>
        <w:t>January 8</w:t>
      </w:r>
      <w:r w:rsidRPr="00013856">
        <w:rPr>
          <w:rFonts w:ascii="Arial" w:hAnsi="Arial" w:cs="Arial"/>
          <w:b/>
          <w:color w:val="FF0000"/>
        </w:rPr>
        <w:t xml:space="preserve"> 20</w:t>
      </w:r>
      <w:r w:rsidR="00B95933">
        <w:rPr>
          <w:rFonts w:ascii="Arial" w:hAnsi="Arial" w:cs="Arial"/>
          <w:b/>
          <w:color w:val="FF0000"/>
        </w:rPr>
        <w:t>20</w:t>
      </w:r>
      <w:bookmarkStart w:id="0" w:name="_GoBack"/>
      <w:bookmarkEnd w:id="0"/>
      <w:r w:rsidRPr="00013856">
        <w:rPr>
          <w:rFonts w:ascii="Arial" w:hAnsi="Arial" w:cs="Arial"/>
          <w:b/>
          <w:color w:val="FF0000"/>
        </w:rPr>
        <w:t xml:space="preserve"> meeting.</w:t>
      </w:r>
    </w:p>
    <w:p w:rsidR="00A31DD0" w:rsidRDefault="00A31DD0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605174" w:rsidRDefault="00605174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337D5" w:rsidRDefault="00C337D5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337D5" w:rsidRDefault="00C337D5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337D5" w:rsidRDefault="00C337D5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2366A747" wp14:editId="2E566A05">
            <wp:extent cx="5851397" cy="4191000"/>
            <wp:effectExtent l="19050" t="19050" r="1651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804" cy="4213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CEC" w:rsidRDefault="005C2CEC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lastRenderedPageBreak/>
        <w:drawing>
          <wp:inline distT="0" distB="0" distL="0" distR="0" wp14:anchorId="706D2B73">
            <wp:extent cx="3930347" cy="389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09" cy="39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2E2BF0E7" wp14:editId="2171D466">
            <wp:extent cx="5553075" cy="7381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381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5C2CEC" w:rsidSect="00013856">
      <w:headerReference w:type="default" r:id="rId11"/>
      <w:foot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8F" w:rsidRDefault="0076678F" w:rsidP="003048D3">
      <w:pPr>
        <w:spacing w:after="0" w:line="240" w:lineRule="auto"/>
      </w:pPr>
      <w:r>
        <w:separator/>
      </w:r>
    </w:p>
  </w:endnote>
  <w:end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5D" w:rsidRPr="0007095D" w:rsidRDefault="0007095D" w:rsidP="0007095D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8F" w:rsidRDefault="0076678F" w:rsidP="003048D3">
      <w:pPr>
        <w:spacing w:after="0" w:line="240" w:lineRule="auto"/>
      </w:pPr>
      <w:r>
        <w:separator/>
      </w:r>
    </w:p>
  </w:footnote>
  <w:foot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09" w:rsidRDefault="00141109" w:rsidP="00C337D5">
    <w:pPr>
      <w:pStyle w:val="Header"/>
      <w:tabs>
        <w:tab w:val="center" w:pos="4320"/>
      </w:tabs>
    </w:pPr>
    <w:r>
      <w:t>December 18</w:t>
    </w:r>
    <w:r w:rsidRPr="00141109">
      <w:rPr>
        <w:vertAlign w:val="superscript"/>
      </w:rPr>
      <w:t>th</w:t>
    </w:r>
    <w:r>
      <w:t xml:space="preserve"> Meeting Minutes</w:t>
    </w:r>
  </w:p>
  <w:p w:rsidR="00141109" w:rsidRDefault="00141109" w:rsidP="00C337D5">
    <w:pPr>
      <w:pStyle w:val="Header"/>
      <w:tabs>
        <w:tab w:val="center" w:pos="4320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5933">
      <w:rPr>
        <w:noProof/>
      </w:rPr>
      <w:t>5</w:t>
    </w:r>
    <w:r>
      <w:rPr>
        <w:noProof/>
      </w:rPr>
      <w:fldChar w:fldCharType="end"/>
    </w:r>
  </w:p>
  <w:p w:rsidR="00331513" w:rsidRDefault="00331513" w:rsidP="00C337D5">
    <w:pPr>
      <w:pStyle w:val="Header"/>
      <w:tabs>
        <w:tab w:val="center" w:pos="43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FF" w:rsidRDefault="00013856" w:rsidP="00141109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1549161">
          <wp:extent cx="3810635" cy="841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3EE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175F"/>
    <w:multiLevelType w:val="hybridMultilevel"/>
    <w:tmpl w:val="839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E00"/>
    <w:multiLevelType w:val="hybridMultilevel"/>
    <w:tmpl w:val="531A7592"/>
    <w:lvl w:ilvl="0" w:tplc="07E65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5A44"/>
    <w:multiLevelType w:val="hybridMultilevel"/>
    <w:tmpl w:val="6B24A556"/>
    <w:lvl w:ilvl="0" w:tplc="FF0C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427"/>
    <w:multiLevelType w:val="hybridMultilevel"/>
    <w:tmpl w:val="F61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48A"/>
    <w:multiLevelType w:val="hybridMultilevel"/>
    <w:tmpl w:val="279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89D"/>
    <w:multiLevelType w:val="hybridMultilevel"/>
    <w:tmpl w:val="D8DE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81562"/>
    <w:multiLevelType w:val="multilevel"/>
    <w:tmpl w:val="E5B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400B3"/>
    <w:multiLevelType w:val="hybridMultilevel"/>
    <w:tmpl w:val="F4203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9D0C5B"/>
    <w:multiLevelType w:val="hybridMultilevel"/>
    <w:tmpl w:val="84F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DE1"/>
    <w:multiLevelType w:val="hybridMultilevel"/>
    <w:tmpl w:val="1DE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25C0"/>
    <w:multiLevelType w:val="hybridMultilevel"/>
    <w:tmpl w:val="D11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B04"/>
    <w:multiLevelType w:val="hybridMultilevel"/>
    <w:tmpl w:val="5E1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5FF"/>
    <w:multiLevelType w:val="hybridMultilevel"/>
    <w:tmpl w:val="D67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3E5D"/>
    <w:multiLevelType w:val="hybridMultilevel"/>
    <w:tmpl w:val="B62EB03A"/>
    <w:lvl w:ilvl="0" w:tplc="42703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F0C"/>
    <w:multiLevelType w:val="hybridMultilevel"/>
    <w:tmpl w:val="DE82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E1C01"/>
    <w:multiLevelType w:val="hybridMultilevel"/>
    <w:tmpl w:val="89D4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5290F"/>
    <w:multiLevelType w:val="hybridMultilevel"/>
    <w:tmpl w:val="477E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A533A"/>
    <w:multiLevelType w:val="hybridMultilevel"/>
    <w:tmpl w:val="728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3019D"/>
    <w:multiLevelType w:val="hybridMultilevel"/>
    <w:tmpl w:val="08C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42251"/>
    <w:multiLevelType w:val="hybridMultilevel"/>
    <w:tmpl w:val="71F415F6"/>
    <w:lvl w:ilvl="0" w:tplc="4166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51A6"/>
    <w:multiLevelType w:val="hybridMultilevel"/>
    <w:tmpl w:val="1FE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638B"/>
    <w:multiLevelType w:val="hybridMultilevel"/>
    <w:tmpl w:val="292A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2820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408CE"/>
    <w:multiLevelType w:val="hybridMultilevel"/>
    <w:tmpl w:val="DEAC02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B85766C"/>
    <w:multiLevelType w:val="hybridMultilevel"/>
    <w:tmpl w:val="6F2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2819"/>
    <w:multiLevelType w:val="hybridMultilevel"/>
    <w:tmpl w:val="07FA5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C516D3"/>
    <w:multiLevelType w:val="hybridMultilevel"/>
    <w:tmpl w:val="C4D22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23"/>
  </w:num>
  <w:num w:numId="5">
    <w:abstractNumId w:val="17"/>
  </w:num>
  <w:num w:numId="6">
    <w:abstractNumId w:val="26"/>
  </w:num>
  <w:num w:numId="7">
    <w:abstractNumId w:val="13"/>
  </w:num>
  <w:num w:numId="8">
    <w:abstractNumId w:val="0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9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3"/>
    <w:rsid w:val="00011237"/>
    <w:rsid w:val="00013856"/>
    <w:rsid w:val="000142CE"/>
    <w:rsid w:val="00027474"/>
    <w:rsid w:val="00041300"/>
    <w:rsid w:val="000512F2"/>
    <w:rsid w:val="0005243E"/>
    <w:rsid w:val="00054FFB"/>
    <w:rsid w:val="00056998"/>
    <w:rsid w:val="00057B7B"/>
    <w:rsid w:val="00067584"/>
    <w:rsid w:val="0007095D"/>
    <w:rsid w:val="00081526"/>
    <w:rsid w:val="00097952"/>
    <w:rsid w:val="000A57C6"/>
    <w:rsid w:val="000A6BA0"/>
    <w:rsid w:val="000B3E0A"/>
    <w:rsid w:val="000F2C66"/>
    <w:rsid w:val="000F5FFE"/>
    <w:rsid w:val="001041D9"/>
    <w:rsid w:val="00111D17"/>
    <w:rsid w:val="0013057F"/>
    <w:rsid w:val="00141109"/>
    <w:rsid w:val="001502EB"/>
    <w:rsid w:val="00174064"/>
    <w:rsid w:val="0019552F"/>
    <w:rsid w:val="001A018B"/>
    <w:rsid w:val="001A230C"/>
    <w:rsid w:val="001D3384"/>
    <w:rsid w:val="001D524A"/>
    <w:rsid w:val="001E1571"/>
    <w:rsid w:val="001E65C8"/>
    <w:rsid w:val="001F6381"/>
    <w:rsid w:val="002210C8"/>
    <w:rsid w:val="00225C1E"/>
    <w:rsid w:val="0026442E"/>
    <w:rsid w:val="00265633"/>
    <w:rsid w:val="002767DA"/>
    <w:rsid w:val="00276991"/>
    <w:rsid w:val="00281C30"/>
    <w:rsid w:val="002870FB"/>
    <w:rsid w:val="002B406F"/>
    <w:rsid w:val="002C2431"/>
    <w:rsid w:val="002C63D9"/>
    <w:rsid w:val="002D38A0"/>
    <w:rsid w:val="002D5CC8"/>
    <w:rsid w:val="002E1DAE"/>
    <w:rsid w:val="002E2FA0"/>
    <w:rsid w:val="002E64BD"/>
    <w:rsid w:val="003048D3"/>
    <w:rsid w:val="003050F4"/>
    <w:rsid w:val="00311DA6"/>
    <w:rsid w:val="00313DF8"/>
    <w:rsid w:val="00324EA9"/>
    <w:rsid w:val="00331513"/>
    <w:rsid w:val="00355B51"/>
    <w:rsid w:val="00362EBB"/>
    <w:rsid w:val="00365390"/>
    <w:rsid w:val="00370C6E"/>
    <w:rsid w:val="00383726"/>
    <w:rsid w:val="003A0D08"/>
    <w:rsid w:val="003A62FF"/>
    <w:rsid w:val="003C0AC9"/>
    <w:rsid w:val="003E1E63"/>
    <w:rsid w:val="003E2CC4"/>
    <w:rsid w:val="003F4E90"/>
    <w:rsid w:val="004039DB"/>
    <w:rsid w:val="0041006B"/>
    <w:rsid w:val="00420E8F"/>
    <w:rsid w:val="00423DFB"/>
    <w:rsid w:val="0042505E"/>
    <w:rsid w:val="00426C07"/>
    <w:rsid w:val="004277F9"/>
    <w:rsid w:val="004345F9"/>
    <w:rsid w:val="00435511"/>
    <w:rsid w:val="00436DA5"/>
    <w:rsid w:val="00460177"/>
    <w:rsid w:val="004603AB"/>
    <w:rsid w:val="00465775"/>
    <w:rsid w:val="00467DEF"/>
    <w:rsid w:val="004919FF"/>
    <w:rsid w:val="004B537E"/>
    <w:rsid w:val="004D39B4"/>
    <w:rsid w:val="004D4F56"/>
    <w:rsid w:val="00500551"/>
    <w:rsid w:val="005067F6"/>
    <w:rsid w:val="0051120F"/>
    <w:rsid w:val="00511BF7"/>
    <w:rsid w:val="0053325E"/>
    <w:rsid w:val="00533721"/>
    <w:rsid w:val="00563F19"/>
    <w:rsid w:val="0057190E"/>
    <w:rsid w:val="00581400"/>
    <w:rsid w:val="00591A2F"/>
    <w:rsid w:val="005B2E44"/>
    <w:rsid w:val="005B3A91"/>
    <w:rsid w:val="005B3C9C"/>
    <w:rsid w:val="005C2CEC"/>
    <w:rsid w:val="005C7C96"/>
    <w:rsid w:val="005D3CF4"/>
    <w:rsid w:val="005E2297"/>
    <w:rsid w:val="005E2529"/>
    <w:rsid w:val="005E6717"/>
    <w:rsid w:val="00605174"/>
    <w:rsid w:val="006232F7"/>
    <w:rsid w:val="0064234B"/>
    <w:rsid w:val="0065046D"/>
    <w:rsid w:val="0065687E"/>
    <w:rsid w:val="00661D62"/>
    <w:rsid w:val="006B2CFF"/>
    <w:rsid w:val="006C2FE1"/>
    <w:rsid w:val="006E5D04"/>
    <w:rsid w:val="006E6B8A"/>
    <w:rsid w:val="006E75EF"/>
    <w:rsid w:val="006F37B2"/>
    <w:rsid w:val="006F58EE"/>
    <w:rsid w:val="00702880"/>
    <w:rsid w:val="00702D25"/>
    <w:rsid w:val="00710278"/>
    <w:rsid w:val="00712DDD"/>
    <w:rsid w:val="0071560B"/>
    <w:rsid w:val="0072419F"/>
    <w:rsid w:val="00734320"/>
    <w:rsid w:val="00752381"/>
    <w:rsid w:val="007559FE"/>
    <w:rsid w:val="0076678F"/>
    <w:rsid w:val="00777C67"/>
    <w:rsid w:val="00784DD0"/>
    <w:rsid w:val="007A5637"/>
    <w:rsid w:val="007B3471"/>
    <w:rsid w:val="007B75B6"/>
    <w:rsid w:val="007C3046"/>
    <w:rsid w:val="00802B55"/>
    <w:rsid w:val="00810E1C"/>
    <w:rsid w:val="00830EB2"/>
    <w:rsid w:val="00836424"/>
    <w:rsid w:val="00837B63"/>
    <w:rsid w:val="00850F78"/>
    <w:rsid w:val="00880181"/>
    <w:rsid w:val="0088258F"/>
    <w:rsid w:val="0089016C"/>
    <w:rsid w:val="00896264"/>
    <w:rsid w:val="008A1E05"/>
    <w:rsid w:val="008A33C0"/>
    <w:rsid w:val="008C0776"/>
    <w:rsid w:val="008C3F80"/>
    <w:rsid w:val="008E4055"/>
    <w:rsid w:val="0090117A"/>
    <w:rsid w:val="00921B63"/>
    <w:rsid w:val="0092753D"/>
    <w:rsid w:val="00931F08"/>
    <w:rsid w:val="009355D2"/>
    <w:rsid w:val="00965794"/>
    <w:rsid w:val="00965B5E"/>
    <w:rsid w:val="0098046E"/>
    <w:rsid w:val="00981BE8"/>
    <w:rsid w:val="00981D28"/>
    <w:rsid w:val="00983F17"/>
    <w:rsid w:val="009B2FA7"/>
    <w:rsid w:val="009C03F2"/>
    <w:rsid w:val="009D35B0"/>
    <w:rsid w:val="009D40D4"/>
    <w:rsid w:val="009D6A95"/>
    <w:rsid w:val="009E3CFE"/>
    <w:rsid w:val="009E4421"/>
    <w:rsid w:val="009F78A5"/>
    <w:rsid w:val="00A07BAC"/>
    <w:rsid w:val="00A110CD"/>
    <w:rsid w:val="00A111C5"/>
    <w:rsid w:val="00A11F22"/>
    <w:rsid w:val="00A23619"/>
    <w:rsid w:val="00A31DD0"/>
    <w:rsid w:val="00A32062"/>
    <w:rsid w:val="00A41054"/>
    <w:rsid w:val="00A410A3"/>
    <w:rsid w:val="00A417CA"/>
    <w:rsid w:val="00A44259"/>
    <w:rsid w:val="00A5741C"/>
    <w:rsid w:val="00A76300"/>
    <w:rsid w:val="00A773B9"/>
    <w:rsid w:val="00A96720"/>
    <w:rsid w:val="00AA0FAD"/>
    <w:rsid w:val="00AA4B7E"/>
    <w:rsid w:val="00AA5524"/>
    <w:rsid w:val="00AB2827"/>
    <w:rsid w:val="00AB338C"/>
    <w:rsid w:val="00AB6F81"/>
    <w:rsid w:val="00AC0317"/>
    <w:rsid w:val="00AC5B42"/>
    <w:rsid w:val="00AD2A5A"/>
    <w:rsid w:val="00AD3660"/>
    <w:rsid w:val="00AE06F8"/>
    <w:rsid w:val="00AE437C"/>
    <w:rsid w:val="00B00CE9"/>
    <w:rsid w:val="00B05C86"/>
    <w:rsid w:val="00B15A0C"/>
    <w:rsid w:val="00B45EF9"/>
    <w:rsid w:val="00B6027F"/>
    <w:rsid w:val="00B60E00"/>
    <w:rsid w:val="00B763AF"/>
    <w:rsid w:val="00B84DB0"/>
    <w:rsid w:val="00B95933"/>
    <w:rsid w:val="00B9640D"/>
    <w:rsid w:val="00BA59DD"/>
    <w:rsid w:val="00BC4135"/>
    <w:rsid w:val="00BD298F"/>
    <w:rsid w:val="00BE297B"/>
    <w:rsid w:val="00BE3397"/>
    <w:rsid w:val="00BF5945"/>
    <w:rsid w:val="00C06485"/>
    <w:rsid w:val="00C06D57"/>
    <w:rsid w:val="00C337D5"/>
    <w:rsid w:val="00C4667E"/>
    <w:rsid w:val="00C4711D"/>
    <w:rsid w:val="00C54166"/>
    <w:rsid w:val="00C63D54"/>
    <w:rsid w:val="00C72D9E"/>
    <w:rsid w:val="00C75519"/>
    <w:rsid w:val="00CA154C"/>
    <w:rsid w:val="00CB0C46"/>
    <w:rsid w:val="00CD481C"/>
    <w:rsid w:val="00CE1942"/>
    <w:rsid w:val="00D05A82"/>
    <w:rsid w:val="00D13933"/>
    <w:rsid w:val="00D14253"/>
    <w:rsid w:val="00D149B5"/>
    <w:rsid w:val="00D36D9C"/>
    <w:rsid w:val="00D527D3"/>
    <w:rsid w:val="00D622CD"/>
    <w:rsid w:val="00D62C07"/>
    <w:rsid w:val="00D81A8F"/>
    <w:rsid w:val="00DA3BFD"/>
    <w:rsid w:val="00DA5836"/>
    <w:rsid w:val="00DC121F"/>
    <w:rsid w:val="00DC5CC1"/>
    <w:rsid w:val="00DE743C"/>
    <w:rsid w:val="00DF0F68"/>
    <w:rsid w:val="00DF18E3"/>
    <w:rsid w:val="00E20C7E"/>
    <w:rsid w:val="00E21C63"/>
    <w:rsid w:val="00E35016"/>
    <w:rsid w:val="00E37EEB"/>
    <w:rsid w:val="00E404B2"/>
    <w:rsid w:val="00E466E0"/>
    <w:rsid w:val="00E61CC9"/>
    <w:rsid w:val="00E649D4"/>
    <w:rsid w:val="00E70F36"/>
    <w:rsid w:val="00EA0041"/>
    <w:rsid w:val="00EC65FF"/>
    <w:rsid w:val="00ED0C48"/>
    <w:rsid w:val="00EF6A4B"/>
    <w:rsid w:val="00F03242"/>
    <w:rsid w:val="00F2125A"/>
    <w:rsid w:val="00F21B3A"/>
    <w:rsid w:val="00F24B05"/>
    <w:rsid w:val="00F25B26"/>
    <w:rsid w:val="00F32815"/>
    <w:rsid w:val="00F356CE"/>
    <w:rsid w:val="00F375A9"/>
    <w:rsid w:val="00F5021E"/>
    <w:rsid w:val="00F64377"/>
    <w:rsid w:val="00F67781"/>
    <w:rsid w:val="00F8057B"/>
    <w:rsid w:val="00F94235"/>
    <w:rsid w:val="00FA0B39"/>
    <w:rsid w:val="00FA152E"/>
    <w:rsid w:val="00FA1E54"/>
    <w:rsid w:val="00FA53F5"/>
    <w:rsid w:val="00FA7CAB"/>
    <w:rsid w:val="00FB2118"/>
    <w:rsid w:val="00FB5C08"/>
    <w:rsid w:val="00FC6479"/>
    <w:rsid w:val="00FD679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D944ED13-F665-4636-9EAD-3931EEF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3"/>
    <w:rPr>
      <w:sz w:val="24"/>
    </w:rPr>
  </w:style>
  <w:style w:type="paragraph" w:styleId="ListParagraph">
    <w:name w:val="List Paragraph"/>
    <w:basedOn w:val="Normal"/>
    <w:uiPriority w:val="34"/>
    <w:qFormat/>
    <w:rsid w:val="003E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2EB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465775"/>
  </w:style>
  <w:style w:type="character" w:styleId="Hyperlink">
    <w:name w:val="Hyperlink"/>
    <w:basedOn w:val="DefaultParagraphFont"/>
    <w:uiPriority w:val="99"/>
    <w:unhideWhenUsed/>
    <w:rsid w:val="0088018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0E8F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630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CAC2-89CF-4E28-9944-6DFEE1E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gibonsc</dc:creator>
  <cp:lastModifiedBy>Tunie Betschart</cp:lastModifiedBy>
  <cp:revision>4</cp:revision>
  <cp:lastPrinted>2019-10-01T22:22:00Z</cp:lastPrinted>
  <dcterms:created xsi:type="dcterms:W3CDTF">2020-01-08T22:02:00Z</dcterms:created>
  <dcterms:modified xsi:type="dcterms:W3CDTF">2020-01-09T00:27:00Z</dcterms:modified>
</cp:coreProperties>
</file>